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A4670" w14:textId="77777777" w:rsidR="004A439F" w:rsidRDefault="004A439F" w:rsidP="004A439F">
      <w:pPr>
        <w:pBdr>
          <w:top w:val="single" w:sz="4" w:space="1" w:color="auto"/>
        </w:pBdr>
        <w:spacing w:after="0"/>
        <w:jc w:val="center"/>
        <w:rPr>
          <w:b/>
          <w:sz w:val="32"/>
          <w:szCs w:val="32"/>
        </w:rPr>
      </w:pPr>
    </w:p>
    <w:p w14:paraId="449D2009" w14:textId="77777777" w:rsidR="004A439F" w:rsidRDefault="004A439F" w:rsidP="004A439F">
      <w:pPr>
        <w:pBdr>
          <w:top w:val="single" w:sz="4" w:space="1" w:color="auto"/>
        </w:pBdr>
        <w:spacing w:after="0"/>
        <w:jc w:val="center"/>
        <w:rPr>
          <w:b/>
          <w:sz w:val="32"/>
          <w:szCs w:val="32"/>
        </w:rPr>
      </w:pPr>
      <w:r w:rsidRPr="00BA5E59">
        <w:rPr>
          <w:b/>
          <w:sz w:val="32"/>
          <w:szCs w:val="32"/>
        </w:rPr>
        <w:t>Privacy Notice</w:t>
      </w:r>
    </w:p>
    <w:p w14:paraId="5AE2E1F1" w14:textId="77777777" w:rsidR="004A439F" w:rsidRPr="00BA5E59" w:rsidRDefault="004A439F" w:rsidP="004A439F">
      <w:pPr>
        <w:jc w:val="center"/>
        <w:rPr>
          <w:b/>
          <w:sz w:val="32"/>
          <w:szCs w:val="32"/>
        </w:rPr>
      </w:pPr>
      <w:r w:rsidRPr="004A439F">
        <w:rPr>
          <w:b/>
          <w:sz w:val="32"/>
          <w:szCs w:val="32"/>
        </w:rPr>
        <w:t>Ph.D. Student Contest 2024: RFIC</w:t>
      </w:r>
    </w:p>
    <w:p w14:paraId="4D02D13D" w14:textId="77777777" w:rsidR="004A439F" w:rsidRDefault="004A439F" w:rsidP="004A439F">
      <w:pPr>
        <w:pBdr>
          <w:bottom w:val="single" w:sz="4" w:space="1" w:color="auto"/>
        </w:pBdr>
        <w:spacing w:after="0"/>
        <w:jc w:val="center"/>
        <w:rPr>
          <w:b/>
          <w:sz w:val="28"/>
          <w:szCs w:val="28"/>
        </w:rPr>
      </w:pPr>
      <w:r>
        <w:rPr>
          <w:b/>
          <w:sz w:val="28"/>
          <w:szCs w:val="28"/>
        </w:rPr>
        <w:t>(Huawei European University Challenge 2024, Belgium Edition)</w:t>
      </w:r>
    </w:p>
    <w:p w14:paraId="0021E037" w14:textId="77777777" w:rsidR="004A439F" w:rsidRDefault="004A439F" w:rsidP="004A439F">
      <w:pPr>
        <w:pBdr>
          <w:bottom w:val="single" w:sz="4" w:space="1" w:color="auto"/>
        </w:pBdr>
        <w:spacing w:after="0"/>
        <w:jc w:val="center"/>
        <w:rPr>
          <w:b/>
          <w:sz w:val="28"/>
          <w:szCs w:val="28"/>
        </w:rPr>
      </w:pPr>
    </w:p>
    <w:p w14:paraId="2EA3434C" w14:textId="77777777" w:rsidR="004A439F" w:rsidRDefault="004A439F" w:rsidP="004A439F">
      <w:pPr>
        <w:jc w:val="center"/>
        <w:rPr>
          <w:b/>
          <w:sz w:val="28"/>
          <w:szCs w:val="2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39F" w:rsidRPr="00BA5E59" w14:paraId="2C81C3CA" w14:textId="77777777" w:rsidTr="001E1FB2">
        <w:tc>
          <w:tcPr>
            <w:tcW w:w="9016" w:type="dxa"/>
            <w:shd w:val="clear" w:color="auto" w:fill="D9D9D9"/>
          </w:tcPr>
          <w:p w14:paraId="48597F9F" w14:textId="77777777" w:rsidR="004A439F" w:rsidRPr="00BA5E59" w:rsidRDefault="004A439F" w:rsidP="001E1FB2">
            <w:pPr>
              <w:rPr>
                <w:b/>
              </w:rPr>
            </w:pPr>
            <w:r w:rsidRPr="00BA5E59">
              <w:rPr>
                <w:b/>
              </w:rPr>
              <w:t>What is the purpose of this Privacy Notice?</w:t>
            </w:r>
          </w:p>
        </w:tc>
      </w:tr>
      <w:tr w:rsidR="004A439F" w:rsidRPr="00BA5E59" w14:paraId="1B989957" w14:textId="77777777" w:rsidTr="001E1FB2">
        <w:tc>
          <w:tcPr>
            <w:tcW w:w="9016" w:type="dxa"/>
          </w:tcPr>
          <w:p w14:paraId="0940EBBC" w14:textId="77777777" w:rsidR="004A439F" w:rsidRPr="004A439F" w:rsidRDefault="004A439F" w:rsidP="004A439F">
            <w:pPr>
              <w:pBdr>
                <w:top w:val="nil"/>
                <w:left w:val="nil"/>
                <w:bottom w:val="nil"/>
                <w:right w:val="nil"/>
                <w:between w:val="nil"/>
              </w:pBdr>
              <w:tabs>
                <w:tab w:val="center" w:pos="4680"/>
                <w:tab w:val="right" w:pos="9360"/>
              </w:tabs>
              <w:rPr>
                <w:rFonts w:eastAsia="Calibri"/>
                <w:color w:val="000000"/>
              </w:rPr>
            </w:pPr>
            <w:r w:rsidRPr="00BA5E59">
              <w:t xml:space="preserve">This Privacy Notice gives you information about the personal data that we collect about you in relation to your participation to the </w:t>
            </w:r>
            <w:r w:rsidRPr="004A439F">
              <w:rPr>
                <w:rFonts w:eastAsia="Calibri"/>
                <w:color w:val="000000"/>
              </w:rPr>
              <w:t>Ph.D. Student Contest 2024: RFIC</w:t>
            </w:r>
            <w:r>
              <w:rPr>
                <w:rFonts w:eastAsia="Calibri"/>
                <w:color w:val="000000"/>
              </w:rPr>
              <w:t xml:space="preserve">, as part of the </w:t>
            </w:r>
            <w:r>
              <w:t>Huawei European University Challenge 2024</w:t>
            </w:r>
            <w:r w:rsidRPr="004A439F">
              <w:rPr>
                <w:rFonts w:eastAsia="Calibri"/>
                <w:color w:val="000000"/>
              </w:rPr>
              <w:t xml:space="preserve"> </w:t>
            </w:r>
            <w:r>
              <w:rPr>
                <w:rFonts w:eastAsia="Calibri"/>
                <w:color w:val="000000"/>
              </w:rPr>
              <w:t>(the “Event”)</w:t>
            </w:r>
            <w:r>
              <w:t>.</w:t>
            </w:r>
          </w:p>
          <w:p w14:paraId="1AA04C7D" w14:textId="77777777" w:rsidR="004A439F" w:rsidRPr="00BA5E59" w:rsidRDefault="004A439F" w:rsidP="001E1FB2">
            <w:r w:rsidRPr="00BA5E59">
              <w:t>This Privacy Notice explains:</w:t>
            </w:r>
          </w:p>
          <w:p w14:paraId="12A30BF0" w14:textId="77777777" w:rsidR="004A439F" w:rsidRPr="00BA5E59" w:rsidRDefault="004A439F" w:rsidP="004A439F">
            <w:pPr>
              <w:pStyle w:val="ListParagraph"/>
              <w:numPr>
                <w:ilvl w:val="0"/>
                <w:numId w:val="5"/>
              </w:numPr>
              <w:spacing w:after="0" w:line="240" w:lineRule="auto"/>
            </w:pPr>
            <w:r w:rsidRPr="00BA5E59">
              <w:t>What data do we collect?</w:t>
            </w:r>
          </w:p>
          <w:p w14:paraId="140DB654" w14:textId="77777777" w:rsidR="004A439F" w:rsidRPr="00BA5E59" w:rsidRDefault="004A439F" w:rsidP="004A439F">
            <w:pPr>
              <w:pStyle w:val="ListParagraph"/>
              <w:numPr>
                <w:ilvl w:val="0"/>
                <w:numId w:val="5"/>
              </w:numPr>
              <w:spacing w:after="0" w:line="240" w:lineRule="auto"/>
            </w:pPr>
            <w:r w:rsidRPr="00BA5E59">
              <w:t>Why do we collect your personal data?</w:t>
            </w:r>
          </w:p>
          <w:p w14:paraId="6D187A92" w14:textId="77777777" w:rsidR="004A439F" w:rsidRPr="00BA5E59" w:rsidRDefault="004A439F" w:rsidP="004A439F">
            <w:pPr>
              <w:pStyle w:val="ListParagraph"/>
              <w:numPr>
                <w:ilvl w:val="0"/>
                <w:numId w:val="5"/>
              </w:numPr>
              <w:spacing w:after="0" w:line="240" w:lineRule="auto"/>
            </w:pPr>
            <w:r w:rsidRPr="00BA5E59">
              <w:t>What are the legal bases we rely on to process your personal data?</w:t>
            </w:r>
          </w:p>
          <w:p w14:paraId="5F232CDF" w14:textId="77777777" w:rsidR="004A439F" w:rsidRPr="00BA5E59" w:rsidRDefault="004A439F" w:rsidP="004A439F">
            <w:pPr>
              <w:pStyle w:val="ListParagraph"/>
              <w:numPr>
                <w:ilvl w:val="0"/>
                <w:numId w:val="5"/>
              </w:numPr>
              <w:spacing w:after="0" w:line="240" w:lineRule="auto"/>
            </w:pPr>
            <w:r w:rsidRPr="00BA5E59">
              <w:t>Who can access to your personal data?</w:t>
            </w:r>
          </w:p>
          <w:p w14:paraId="637D4E56" w14:textId="77777777" w:rsidR="004A439F" w:rsidRPr="00BA5E59" w:rsidRDefault="004A439F" w:rsidP="004A439F">
            <w:pPr>
              <w:pStyle w:val="ListParagraph"/>
              <w:numPr>
                <w:ilvl w:val="0"/>
                <w:numId w:val="5"/>
              </w:numPr>
              <w:spacing w:after="0" w:line="240" w:lineRule="auto"/>
            </w:pPr>
            <w:r w:rsidRPr="00BA5E59">
              <w:t>How do we protect your personal data?</w:t>
            </w:r>
          </w:p>
          <w:p w14:paraId="59332596" w14:textId="77777777" w:rsidR="004A439F" w:rsidRPr="00BA5E59" w:rsidRDefault="004A439F" w:rsidP="004A439F">
            <w:pPr>
              <w:pStyle w:val="ListParagraph"/>
              <w:numPr>
                <w:ilvl w:val="0"/>
                <w:numId w:val="5"/>
              </w:numPr>
              <w:spacing w:after="0" w:line="240" w:lineRule="auto"/>
            </w:pPr>
            <w:r w:rsidRPr="00BA5E59">
              <w:t>How long do we retain your personal data?</w:t>
            </w:r>
          </w:p>
          <w:p w14:paraId="1A35DE5C" w14:textId="77777777" w:rsidR="004A439F" w:rsidRPr="00BA5E59" w:rsidRDefault="004A439F" w:rsidP="004A439F">
            <w:pPr>
              <w:pStyle w:val="ListParagraph"/>
              <w:numPr>
                <w:ilvl w:val="0"/>
                <w:numId w:val="5"/>
              </w:numPr>
              <w:spacing w:after="0" w:line="240" w:lineRule="auto"/>
            </w:pPr>
            <w:r w:rsidRPr="00BA5E59">
              <w:t>Is there any possibility that your personal data are processed outside the EEA?</w:t>
            </w:r>
          </w:p>
          <w:p w14:paraId="1FA0345C" w14:textId="77777777" w:rsidR="004A439F" w:rsidRPr="00BA5E59" w:rsidRDefault="004A439F" w:rsidP="004A439F">
            <w:pPr>
              <w:pStyle w:val="ListParagraph"/>
              <w:numPr>
                <w:ilvl w:val="0"/>
                <w:numId w:val="5"/>
              </w:numPr>
              <w:spacing w:after="0" w:line="240" w:lineRule="auto"/>
            </w:pPr>
            <w:r w:rsidRPr="00BA5E59">
              <w:t>How can you exercise your rights as data subject?</w:t>
            </w:r>
          </w:p>
          <w:p w14:paraId="60056518" w14:textId="77777777" w:rsidR="004A439F" w:rsidRPr="00BA5E59" w:rsidRDefault="004A439F" w:rsidP="004A439F">
            <w:pPr>
              <w:pStyle w:val="ListParagraph"/>
              <w:numPr>
                <w:ilvl w:val="0"/>
                <w:numId w:val="5"/>
              </w:numPr>
              <w:spacing w:after="0" w:line="240" w:lineRule="auto"/>
            </w:pPr>
            <w:r w:rsidRPr="00BA5E59">
              <w:t>Glossary of terms used</w:t>
            </w:r>
          </w:p>
          <w:p w14:paraId="4A0421FC" w14:textId="77777777" w:rsidR="004A439F" w:rsidRPr="00BA5E59" w:rsidRDefault="004A439F" w:rsidP="001E1FB2"/>
        </w:tc>
      </w:tr>
    </w:tbl>
    <w:p w14:paraId="483F5B72" w14:textId="77777777" w:rsidR="004A439F" w:rsidRPr="00BA5E59" w:rsidRDefault="004A439F" w:rsidP="004A439F"/>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8"/>
      </w:tblGrid>
      <w:tr w:rsidR="004A439F" w:rsidRPr="00BA5E59" w14:paraId="4E3234B2" w14:textId="77777777" w:rsidTr="001E1FB2">
        <w:tc>
          <w:tcPr>
            <w:tcW w:w="9016" w:type="dxa"/>
            <w:gridSpan w:val="2"/>
            <w:shd w:val="clear" w:color="auto" w:fill="D9D9D9"/>
          </w:tcPr>
          <w:p w14:paraId="41A41123" w14:textId="77777777" w:rsidR="004A439F" w:rsidRPr="00BA5E59" w:rsidRDefault="004A439F" w:rsidP="001E1FB2">
            <w:pPr>
              <w:rPr>
                <w:b/>
              </w:rPr>
            </w:pPr>
            <w:r w:rsidRPr="00BA5E59">
              <w:rPr>
                <w:b/>
              </w:rPr>
              <w:t>The identity and contact details of the Controller</w:t>
            </w:r>
          </w:p>
        </w:tc>
      </w:tr>
      <w:tr w:rsidR="004A439F" w:rsidRPr="009F4B51" w14:paraId="5F9DD384" w14:textId="77777777" w:rsidTr="001E1FB2">
        <w:tc>
          <w:tcPr>
            <w:tcW w:w="4248" w:type="dxa"/>
          </w:tcPr>
          <w:p w14:paraId="771C675A" w14:textId="77777777" w:rsidR="004A439F" w:rsidRPr="00BA5E59" w:rsidRDefault="004A439F" w:rsidP="001E1FB2">
            <w:pPr>
              <w:rPr>
                <w:b/>
              </w:rPr>
            </w:pPr>
            <w:r w:rsidRPr="00BA5E59">
              <w:rPr>
                <w:b/>
              </w:rPr>
              <w:t xml:space="preserve">Huawei Technologies Research &amp; Development Belgium N.V. </w:t>
            </w:r>
            <w:r w:rsidR="004A20FA">
              <w:rPr>
                <w:b/>
              </w:rPr>
              <w:t>(hereinafter “Huawei”)</w:t>
            </w:r>
          </w:p>
        </w:tc>
        <w:tc>
          <w:tcPr>
            <w:tcW w:w="4768" w:type="dxa"/>
          </w:tcPr>
          <w:p w14:paraId="17B5EDF8" w14:textId="77777777" w:rsidR="004A439F" w:rsidRPr="005B1C09" w:rsidRDefault="004A439F" w:rsidP="001E1FB2">
            <w:pPr>
              <w:rPr>
                <w:lang w:val="nl-BE"/>
              </w:rPr>
            </w:pPr>
            <w:r w:rsidRPr="005B1C09">
              <w:rPr>
                <w:lang w:val="nl-BE"/>
              </w:rPr>
              <w:t>Gaston Geenslaan 10, 3001 Heverlee (Leuven),</w:t>
            </w:r>
          </w:p>
          <w:p w14:paraId="397709C0" w14:textId="77777777" w:rsidR="004A439F" w:rsidRDefault="004A439F" w:rsidP="001E1FB2">
            <w:pPr>
              <w:rPr>
                <w:lang w:val="nl-BE"/>
              </w:rPr>
            </w:pPr>
            <w:r w:rsidRPr="005B1C09">
              <w:rPr>
                <w:lang w:val="nl-BE"/>
              </w:rPr>
              <w:t>Belgium</w:t>
            </w:r>
          </w:p>
          <w:p w14:paraId="26BDEF9B" w14:textId="77777777" w:rsidR="004A439F" w:rsidRPr="00BA5E59" w:rsidRDefault="004A439F" w:rsidP="001E1FB2">
            <w:pPr>
              <w:rPr>
                <w:b/>
                <w:lang w:val="nl-BE"/>
              </w:rPr>
            </w:pPr>
            <w:r w:rsidRPr="00BA5E59">
              <w:rPr>
                <w:b/>
                <w:lang w:val="nl-BE"/>
              </w:rPr>
              <w:t xml:space="preserve">Contact: </w:t>
            </w:r>
            <w:r>
              <w:fldChar w:fldCharType="begin"/>
            </w:r>
            <w:r w:rsidRPr="009F4B51">
              <w:rPr>
                <w:lang w:val="nl-BE"/>
              </w:rPr>
              <w:instrText xml:space="preserve"> HYPERLINK "mailto:dpo@huawei.com" </w:instrText>
            </w:r>
            <w:r>
              <w:fldChar w:fldCharType="separate"/>
            </w:r>
            <w:r w:rsidRPr="00BA5E59">
              <w:rPr>
                <w:rStyle w:val="Hyperlink"/>
                <w:lang w:val="nl-BE"/>
              </w:rPr>
              <w:t>dpo@huawei.com</w:t>
            </w:r>
            <w:r>
              <w:rPr>
                <w:rStyle w:val="Hyperlink"/>
                <w:lang w:val="nl-BE"/>
              </w:rPr>
              <w:fldChar w:fldCharType="end"/>
            </w:r>
            <w:r>
              <w:rPr>
                <w:rStyle w:val="Hyperlink"/>
                <w:lang w:val="nl-BE"/>
              </w:rPr>
              <w:t xml:space="preserve"> </w:t>
            </w:r>
            <w:r w:rsidRPr="00BA5E59">
              <w:rPr>
                <w:lang w:val="nl-BE"/>
              </w:rPr>
              <w:t xml:space="preserve"> </w:t>
            </w:r>
          </w:p>
        </w:tc>
      </w:tr>
    </w:tbl>
    <w:p w14:paraId="44C8505C" w14:textId="77777777" w:rsidR="004A439F" w:rsidRPr="00BA5E59" w:rsidRDefault="004A439F" w:rsidP="004A439F">
      <w:pPr>
        <w:pBdr>
          <w:top w:val="nil"/>
          <w:left w:val="nil"/>
          <w:bottom w:val="nil"/>
          <w:right w:val="nil"/>
          <w:between w:val="nil"/>
        </w:pBdr>
        <w:ind w:left="720"/>
        <w:rPr>
          <w:lang w:val="nl-BE"/>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186"/>
      </w:tblGrid>
      <w:tr w:rsidR="004A439F" w:rsidRPr="00BA5E59" w14:paraId="7D105A37" w14:textId="77777777" w:rsidTr="001E1FB2">
        <w:tc>
          <w:tcPr>
            <w:tcW w:w="9016" w:type="dxa"/>
            <w:gridSpan w:val="2"/>
            <w:shd w:val="clear" w:color="auto" w:fill="F2F2F2"/>
          </w:tcPr>
          <w:p w14:paraId="53BFB85B" w14:textId="77777777" w:rsidR="004A439F" w:rsidRPr="00BA5E59" w:rsidRDefault="004A20FA" w:rsidP="001E1FB2">
            <w:pPr>
              <w:pBdr>
                <w:top w:val="nil"/>
                <w:left w:val="nil"/>
                <w:bottom w:val="nil"/>
                <w:right w:val="nil"/>
                <w:between w:val="nil"/>
              </w:pBdr>
              <w:rPr>
                <w:b/>
              </w:rPr>
            </w:pPr>
            <w:r>
              <w:rPr>
                <w:b/>
              </w:rPr>
              <w:t xml:space="preserve">Huawei collects and processes your </w:t>
            </w:r>
            <w:r w:rsidRPr="004A20FA">
              <w:rPr>
                <w:b/>
              </w:rPr>
              <w:t>Personal Data to</w:t>
            </w:r>
            <w:r>
              <w:rPr>
                <w:b/>
              </w:rPr>
              <w:t xml:space="preserve"> (i)</w:t>
            </w:r>
            <w:r w:rsidRPr="004A20FA">
              <w:rPr>
                <w:b/>
              </w:rPr>
              <w:t xml:space="preserve"> interact</w:t>
            </w:r>
            <w:r>
              <w:rPr>
                <w:b/>
              </w:rPr>
              <w:t xml:space="preserve"> and</w:t>
            </w:r>
            <w:r w:rsidRPr="004A20FA">
              <w:rPr>
                <w:b/>
              </w:rPr>
              <w:t xml:space="preserve"> exchange with</w:t>
            </w:r>
            <w:r>
              <w:rPr>
                <w:b/>
              </w:rPr>
              <w:t xml:space="preserve"> you</w:t>
            </w:r>
            <w:r w:rsidRPr="004A20FA">
              <w:rPr>
                <w:b/>
              </w:rPr>
              <w:t xml:space="preserve"> </w:t>
            </w:r>
            <w:r>
              <w:rPr>
                <w:b/>
              </w:rPr>
              <w:t>in relation to the Event, (ii) to execute</w:t>
            </w:r>
            <w:r w:rsidRPr="004A20FA">
              <w:rPr>
                <w:b/>
              </w:rPr>
              <w:t xml:space="preserve"> </w:t>
            </w:r>
            <w:r>
              <w:rPr>
                <w:b/>
              </w:rPr>
              <w:t>the</w:t>
            </w:r>
            <w:r w:rsidRPr="004A20FA">
              <w:rPr>
                <w:b/>
              </w:rPr>
              <w:t xml:space="preserve"> contract </w:t>
            </w:r>
            <w:r>
              <w:rPr>
                <w:b/>
              </w:rPr>
              <w:t xml:space="preserve">it has concluded with you regarding your participation to the Event, (iii) to inform you and to communicate with you about a </w:t>
            </w:r>
            <w:r w:rsidRPr="004A20FA">
              <w:rPr>
                <w:b/>
              </w:rPr>
              <w:t>potential cooperation in the future, e.g. inviting you to similar events, or for potential internships, or job fairs at Huawei.</w:t>
            </w:r>
            <w:r>
              <w:rPr>
                <w:b/>
              </w:rPr>
              <w:t xml:space="preserve"> </w:t>
            </w:r>
          </w:p>
        </w:tc>
      </w:tr>
      <w:tr w:rsidR="004A439F" w:rsidRPr="00BA5E59" w14:paraId="15CA3D9E" w14:textId="77777777" w:rsidTr="001E1FB2">
        <w:tc>
          <w:tcPr>
            <w:tcW w:w="2830" w:type="dxa"/>
            <w:shd w:val="clear" w:color="auto" w:fill="F2F2F2"/>
          </w:tcPr>
          <w:p w14:paraId="7761E40B" w14:textId="77777777" w:rsidR="004A439F" w:rsidRPr="00BA5E59" w:rsidRDefault="004A439F" w:rsidP="001E1FB2">
            <w:r w:rsidRPr="00BA5E59">
              <w:t>The Personal Data</w:t>
            </w:r>
          </w:p>
        </w:tc>
        <w:tc>
          <w:tcPr>
            <w:tcW w:w="6186" w:type="dxa"/>
          </w:tcPr>
          <w:p w14:paraId="017661C7" w14:textId="77777777" w:rsidR="004A439F" w:rsidRPr="00BA5E59" w:rsidRDefault="004A439F" w:rsidP="004A20FA">
            <w:pPr>
              <w:jc w:val="both"/>
            </w:pPr>
            <w:r w:rsidRPr="00BA5E59">
              <w:t>Any or all of the following:</w:t>
            </w:r>
          </w:p>
          <w:p w14:paraId="3591B26F" w14:textId="77777777" w:rsidR="004A20FA" w:rsidRDefault="004A20FA" w:rsidP="004A20FA">
            <w:pPr>
              <w:numPr>
                <w:ilvl w:val="0"/>
                <w:numId w:val="1"/>
              </w:numPr>
              <w:pBdr>
                <w:top w:val="nil"/>
                <w:left w:val="nil"/>
                <w:bottom w:val="nil"/>
                <w:right w:val="nil"/>
                <w:between w:val="nil"/>
              </w:pBdr>
              <w:jc w:val="both"/>
            </w:pPr>
            <w:r>
              <w:rPr>
                <w:color w:val="000000"/>
              </w:rPr>
              <w:t>Name and surname;</w:t>
            </w:r>
          </w:p>
          <w:p w14:paraId="31772D6F" w14:textId="77777777" w:rsidR="004A20FA" w:rsidRDefault="004A20FA" w:rsidP="004A20FA">
            <w:pPr>
              <w:numPr>
                <w:ilvl w:val="0"/>
                <w:numId w:val="1"/>
              </w:numPr>
              <w:pBdr>
                <w:top w:val="nil"/>
                <w:left w:val="nil"/>
                <w:bottom w:val="nil"/>
                <w:right w:val="nil"/>
                <w:between w:val="nil"/>
              </w:pBdr>
              <w:jc w:val="both"/>
            </w:pPr>
            <w:r>
              <w:rPr>
                <w:color w:val="000000"/>
              </w:rPr>
              <w:t>University or School or College;</w:t>
            </w:r>
          </w:p>
          <w:p w14:paraId="4416C9D9" w14:textId="77DA75D8" w:rsidR="004A20FA" w:rsidRDefault="004A20FA" w:rsidP="004A20FA">
            <w:pPr>
              <w:numPr>
                <w:ilvl w:val="0"/>
                <w:numId w:val="1"/>
              </w:numPr>
              <w:pBdr>
                <w:top w:val="nil"/>
                <w:left w:val="nil"/>
                <w:bottom w:val="nil"/>
                <w:right w:val="nil"/>
                <w:between w:val="nil"/>
              </w:pBdr>
              <w:jc w:val="both"/>
            </w:pPr>
            <w:r>
              <w:rPr>
                <w:color w:val="000000"/>
              </w:rPr>
              <w:lastRenderedPageBreak/>
              <w:t xml:space="preserve">Contact Details (phone number; email address; </w:t>
            </w:r>
            <w:r w:rsidR="0021484A">
              <w:rPr>
                <w:color w:val="000000"/>
              </w:rPr>
              <w:t xml:space="preserve">home address, </w:t>
            </w:r>
            <w:bookmarkStart w:id="0" w:name="_GoBack"/>
            <w:bookmarkEnd w:id="0"/>
            <w:r>
              <w:rPr>
                <w:color w:val="000000"/>
              </w:rPr>
              <w:t>website or webpage if any)</w:t>
            </w:r>
          </w:p>
          <w:p w14:paraId="394A7175" w14:textId="77777777" w:rsidR="004A20FA" w:rsidRDefault="004A20FA" w:rsidP="004A20FA">
            <w:pPr>
              <w:numPr>
                <w:ilvl w:val="0"/>
                <w:numId w:val="1"/>
              </w:numPr>
              <w:pBdr>
                <w:top w:val="nil"/>
                <w:left w:val="nil"/>
                <w:bottom w:val="nil"/>
                <w:right w:val="nil"/>
                <w:between w:val="nil"/>
              </w:pBdr>
              <w:jc w:val="both"/>
            </w:pPr>
            <w:r>
              <w:rPr>
                <w:color w:val="000000"/>
              </w:rPr>
              <w:t>IP Address</w:t>
            </w:r>
          </w:p>
          <w:p w14:paraId="77EF775B" w14:textId="77777777" w:rsidR="004A20FA" w:rsidRDefault="004A20FA" w:rsidP="004A20FA">
            <w:pPr>
              <w:numPr>
                <w:ilvl w:val="0"/>
                <w:numId w:val="1"/>
              </w:numPr>
              <w:pBdr>
                <w:top w:val="nil"/>
                <w:left w:val="nil"/>
                <w:bottom w:val="nil"/>
                <w:right w:val="nil"/>
                <w:between w:val="nil"/>
              </w:pBdr>
              <w:jc w:val="both"/>
            </w:pPr>
            <w:r>
              <w:rPr>
                <w:color w:val="000000"/>
              </w:rPr>
              <w:t xml:space="preserve">Photographs, images, videos and voice recordings that are made during and/or in relation to the Event </w:t>
            </w:r>
          </w:p>
          <w:p w14:paraId="38C2E6CE" w14:textId="77777777" w:rsidR="004A20FA" w:rsidRDefault="004A20FA" w:rsidP="004A20FA">
            <w:pPr>
              <w:numPr>
                <w:ilvl w:val="0"/>
                <w:numId w:val="1"/>
              </w:numPr>
              <w:pBdr>
                <w:top w:val="nil"/>
                <w:left w:val="nil"/>
                <w:bottom w:val="nil"/>
                <w:right w:val="nil"/>
                <w:between w:val="nil"/>
              </w:pBdr>
              <w:jc w:val="both"/>
            </w:pPr>
            <w:r>
              <w:rPr>
                <w:color w:val="000000"/>
              </w:rPr>
              <w:t>Biography:</w:t>
            </w:r>
          </w:p>
          <w:p w14:paraId="281D3358" w14:textId="77777777" w:rsidR="004A20FA" w:rsidRDefault="004A20FA" w:rsidP="004A20FA">
            <w:pPr>
              <w:numPr>
                <w:ilvl w:val="1"/>
                <w:numId w:val="1"/>
              </w:numPr>
              <w:pBdr>
                <w:top w:val="nil"/>
                <w:left w:val="nil"/>
                <w:bottom w:val="nil"/>
                <w:right w:val="nil"/>
                <w:between w:val="nil"/>
              </w:pBdr>
              <w:jc w:val="both"/>
              <w:rPr>
                <w:color w:val="000000"/>
              </w:rPr>
            </w:pPr>
            <w:r>
              <w:rPr>
                <w:color w:val="000000"/>
              </w:rPr>
              <w:t xml:space="preserve"> Education and qualifications;</w:t>
            </w:r>
          </w:p>
          <w:p w14:paraId="03478DE4" w14:textId="77777777" w:rsidR="004A20FA" w:rsidRDefault="004A20FA" w:rsidP="004A20FA">
            <w:pPr>
              <w:numPr>
                <w:ilvl w:val="1"/>
                <w:numId w:val="1"/>
              </w:numPr>
              <w:pBdr>
                <w:top w:val="nil"/>
                <w:left w:val="nil"/>
                <w:bottom w:val="nil"/>
                <w:right w:val="nil"/>
                <w:between w:val="nil"/>
              </w:pBdr>
              <w:jc w:val="both"/>
            </w:pPr>
            <w:r>
              <w:rPr>
                <w:color w:val="000000"/>
              </w:rPr>
              <w:t xml:space="preserve">CV Attachment (Education/Employment History/Research Interest/Publications Etc.) </w:t>
            </w:r>
          </w:p>
          <w:p w14:paraId="6B1B0BEA" w14:textId="77777777" w:rsidR="004A20FA" w:rsidRDefault="004A20FA" w:rsidP="004A20FA">
            <w:pPr>
              <w:numPr>
                <w:ilvl w:val="0"/>
                <w:numId w:val="1"/>
              </w:numPr>
              <w:pBdr>
                <w:top w:val="nil"/>
                <w:left w:val="nil"/>
                <w:bottom w:val="nil"/>
                <w:right w:val="nil"/>
                <w:between w:val="nil"/>
              </w:pBdr>
              <w:jc w:val="both"/>
            </w:pPr>
            <w:r>
              <w:rPr>
                <w:color w:val="000000"/>
              </w:rPr>
              <w:t>Work submitted in relation the Event;</w:t>
            </w:r>
          </w:p>
          <w:p w14:paraId="07A4F0AC" w14:textId="77777777" w:rsidR="004A20FA" w:rsidRPr="00A5243B" w:rsidRDefault="004A20FA" w:rsidP="004A20FA">
            <w:pPr>
              <w:numPr>
                <w:ilvl w:val="0"/>
                <w:numId w:val="1"/>
              </w:numPr>
              <w:pBdr>
                <w:top w:val="nil"/>
                <w:left w:val="nil"/>
                <w:bottom w:val="nil"/>
                <w:right w:val="nil"/>
                <w:between w:val="nil"/>
              </w:pBdr>
              <w:jc w:val="both"/>
            </w:pPr>
            <w:r>
              <w:rPr>
                <w:color w:val="000000"/>
              </w:rPr>
              <w:t>Messages exchanged on the platforms and other online systems (video conference call, social network page…) used to support the Event and related activities;</w:t>
            </w:r>
          </w:p>
          <w:p w14:paraId="5DB1A6D0" w14:textId="77777777" w:rsidR="004A20FA" w:rsidRDefault="004A20FA" w:rsidP="004A20FA">
            <w:pPr>
              <w:numPr>
                <w:ilvl w:val="0"/>
                <w:numId w:val="1"/>
              </w:numPr>
              <w:pBdr>
                <w:top w:val="nil"/>
                <w:left w:val="nil"/>
                <w:bottom w:val="nil"/>
                <w:right w:val="nil"/>
                <w:between w:val="nil"/>
              </w:pBdr>
              <w:jc w:val="both"/>
            </w:pPr>
            <w:r>
              <w:t>Bank account information</w:t>
            </w:r>
          </w:p>
          <w:p w14:paraId="0359597A" w14:textId="77777777" w:rsidR="004A439F" w:rsidRPr="00BA5E59" w:rsidRDefault="004A439F" w:rsidP="004A20FA">
            <w:pPr>
              <w:widowControl w:val="0"/>
              <w:pBdr>
                <w:top w:val="nil"/>
                <w:left w:val="nil"/>
                <w:bottom w:val="nil"/>
                <w:right w:val="nil"/>
                <w:between w:val="nil"/>
              </w:pBdr>
              <w:spacing w:line="237" w:lineRule="auto"/>
              <w:ind w:right="221"/>
              <w:jc w:val="both"/>
            </w:pPr>
            <w:r w:rsidRPr="00BA5E59">
              <w:t>You may provide additional information on a voluntary basis</w:t>
            </w:r>
            <w:r w:rsidR="004A20FA">
              <w:t xml:space="preserve">. It being understood that </w:t>
            </w:r>
            <w:r w:rsidRPr="00BA5E59">
              <w:t xml:space="preserve">Huawei </w:t>
            </w:r>
            <w:r w:rsidR="004A20FA">
              <w:t>will</w:t>
            </w:r>
            <w:r w:rsidRPr="00BA5E59">
              <w:t xml:space="preserve"> not </w:t>
            </w:r>
            <w:r w:rsidR="004A20FA">
              <w:t>accept</w:t>
            </w:r>
            <w:r w:rsidRPr="00BA5E59">
              <w:t xml:space="preserve"> Special Category Personal Data to be provided as part of your Personal Data.</w:t>
            </w:r>
          </w:p>
        </w:tc>
      </w:tr>
      <w:tr w:rsidR="004A439F" w:rsidRPr="00BA5E59" w14:paraId="237684A1" w14:textId="77777777" w:rsidTr="001E1FB2">
        <w:tc>
          <w:tcPr>
            <w:tcW w:w="2830" w:type="dxa"/>
            <w:shd w:val="clear" w:color="auto" w:fill="F2F2F2"/>
          </w:tcPr>
          <w:p w14:paraId="0AAA94E4" w14:textId="77777777" w:rsidR="004A439F" w:rsidRPr="00BA5E59" w:rsidRDefault="004A439F" w:rsidP="001E1FB2">
            <w:r w:rsidRPr="00BA5E59">
              <w:lastRenderedPageBreak/>
              <w:t>The source of the personal data</w:t>
            </w:r>
            <w:r w:rsidRPr="00BA5E59">
              <w:tab/>
            </w:r>
          </w:p>
        </w:tc>
        <w:tc>
          <w:tcPr>
            <w:tcW w:w="6186" w:type="dxa"/>
          </w:tcPr>
          <w:p w14:paraId="4D1EB509" w14:textId="7F8746DE" w:rsidR="004A439F" w:rsidRPr="00BA5E59" w:rsidRDefault="004A439F" w:rsidP="00DF5FAB">
            <w:pPr>
              <w:jc w:val="both"/>
            </w:pPr>
            <w:r w:rsidRPr="00BA5E59">
              <w:t>Data will be either</w:t>
            </w:r>
            <w:r w:rsidRPr="00BA5E59">
              <w:rPr>
                <w:sz w:val="16"/>
                <w:szCs w:val="16"/>
              </w:rPr>
              <w:t xml:space="preserve">: </w:t>
            </w:r>
          </w:p>
          <w:p w14:paraId="2E13FBAD" w14:textId="77777777" w:rsidR="004A439F" w:rsidRPr="00BA5E59" w:rsidRDefault="004A439F" w:rsidP="00DF5FAB">
            <w:pPr>
              <w:pStyle w:val="ListParagraph"/>
              <w:numPr>
                <w:ilvl w:val="0"/>
                <w:numId w:val="6"/>
              </w:numPr>
              <w:spacing w:after="0" w:line="240" w:lineRule="auto"/>
              <w:jc w:val="both"/>
            </w:pPr>
            <w:r w:rsidRPr="00BA5E59">
              <w:t xml:space="preserve">Provided by the Data Subject, during the registration and participation to online or offline event; </w:t>
            </w:r>
          </w:p>
          <w:p w14:paraId="4FAAFAC8" w14:textId="77777777" w:rsidR="004A439F" w:rsidRPr="00BA5E59" w:rsidRDefault="004A439F" w:rsidP="00DF5FAB">
            <w:pPr>
              <w:pStyle w:val="ListParagraph"/>
              <w:numPr>
                <w:ilvl w:val="0"/>
                <w:numId w:val="6"/>
              </w:numPr>
              <w:spacing w:after="0" w:line="240" w:lineRule="auto"/>
              <w:jc w:val="both"/>
            </w:pPr>
            <w:r w:rsidRPr="00BA5E59">
              <w:t>Collected through publicly available resources such as the workplace website(s), blogs or other publications of the Data Subject; academic or professional websites, blogs or other publications; public technology surveys, reports, articles or other publications, etc.;</w:t>
            </w:r>
          </w:p>
          <w:p w14:paraId="6D63A9D0" w14:textId="77777777" w:rsidR="004A439F" w:rsidRPr="00BA5E59" w:rsidRDefault="004A439F" w:rsidP="00DF5FAB">
            <w:pPr>
              <w:pStyle w:val="ListParagraph"/>
              <w:numPr>
                <w:ilvl w:val="0"/>
                <w:numId w:val="6"/>
              </w:numPr>
              <w:spacing w:after="0" w:line="240" w:lineRule="auto"/>
              <w:jc w:val="both"/>
            </w:pPr>
            <w:r w:rsidRPr="00BA5E59">
              <w:t>Provided by Huawei, its affiliates, partners or suppliers, pursuant to the organisation of the Event, and related activities where the Data Subject is involved.</w:t>
            </w:r>
          </w:p>
        </w:tc>
      </w:tr>
      <w:tr w:rsidR="004A439F" w:rsidRPr="00BA5E59" w14:paraId="4C4E76FD" w14:textId="77777777" w:rsidTr="001E1FB2">
        <w:tc>
          <w:tcPr>
            <w:tcW w:w="2830" w:type="dxa"/>
            <w:shd w:val="clear" w:color="auto" w:fill="F2F2F2"/>
          </w:tcPr>
          <w:p w14:paraId="14CAD5E7" w14:textId="77777777" w:rsidR="004A439F" w:rsidRPr="00BA5E59" w:rsidRDefault="004A439F" w:rsidP="001E1FB2">
            <w:r w:rsidRPr="00BA5E59">
              <w:t>Why we process the personal data</w:t>
            </w:r>
          </w:p>
        </w:tc>
        <w:tc>
          <w:tcPr>
            <w:tcW w:w="6186" w:type="dxa"/>
          </w:tcPr>
          <w:p w14:paraId="447CC859" w14:textId="77777777" w:rsidR="004A439F" w:rsidRPr="00BA5E59" w:rsidRDefault="004A439F" w:rsidP="00DF5FAB">
            <w:pPr>
              <w:jc w:val="both"/>
            </w:pPr>
            <w:r w:rsidRPr="00BA5E59">
              <w:t xml:space="preserve">Huawei processes such Personal Data in </w:t>
            </w:r>
            <w:r w:rsidR="009000F5">
              <w:t>view of</w:t>
            </w:r>
            <w:r w:rsidRPr="00BA5E59">
              <w:t>:</w:t>
            </w:r>
          </w:p>
          <w:p w14:paraId="021ED87A" w14:textId="77777777" w:rsidR="004A20FA" w:rsidRDefault="004A20FA" w:rsidP="00DF5FAB">
            <w:pPr>
              <w:pBdr>
                <w:top w:val="nil"/>
                <w:left w:val="nil"/>
                <w:bottom w:val="nil"/>
                <w:right w:val="nil"/>
                <w:between w:val="nil"/>
              </w:pBdr>
              <w:ind w:left="720" w:hanging="399"/>
              <w:jc w:val="both"/>
            </w:pPr>
            <w:r>
              <w:t>●</w:t>
            </w:r>
            <w:r>
              <w:tab/>
              <w:t>Managing pre-contractual and contractual relationship with or involving the Data Subject and/or participation to the Challenge and related events and activities (including sending invitation, managing your participation, inviting to ceremony)</w:t>
            </w:r>
          </w:p>
          <w:p w14:paraId="74636123" w14:textId="77777777" w:rsidR="004A20FA" w:rsidRDefault="004A20FA" w:rsidP="00DF5FAB">
            <w:pPr>
              <w:pBdr>
                <w:top w:val="nil"/>
                <w:left w:val="nil"/>
                <w:bottom w:val="nil"/>
                <w:right w:val="nil"/>
                <w:between w:val="nil"/>
              </w:pBdr>
              <w:ind w:left="720" w:hanging="399"/>
              <w:jc w:val="both"/>
            </w:pPr>
            <w:r>
              <w:t>●</w:t>
            </w:r>
            <w:r>
              <w:tab/>
              <w:t>Communicating and exchanging with you in connection to the Challenge and activities as described in the Terms and Conditions of the Challenge, work submission and related interactions, discussions on the platforms and other online systems (video conference call, social network page…), presentation to the jury, and allocation of the prizes;</w:t>
            </w:r>
          </w:p>
          <w:p w14:paraId="23926AFD" w14:textId="77777777" w:rsidR="004A20FA" w:rsidRDefault="004A20FA" w:rsidP="00DF5FAB">
            <w:pPr>
              <w:pBdr>
                <w:top w:val="nil"/>
                <w:left w:val="nil"/>
                <w:bottom w:val="nil"/>
                <w:right w:val="nil"/>
                <w:between w:val="nil"/>
              </w:pBdr>
              <w:ind w:left="720" w:hanging="399"/>
              <w:jc w:val="both"/>
            </w:pPr>
            <w:r>
              <w:lastRenderedPageBreak/>
              <w:t>●</w:t>
            </w:r>
            <w:r>
              <w:tab/>
              <w:t>Communicate on the Challenge, its participants, and results;</w:t>
            </w:r>
          </w:p>
          <w:p w14:paraId="431F2C46" w14:textId="77777777" w:rsidR="004A20FA" w:rsidRDefault="004A20FA" w:rsidP="00DF5FAB">
            <w:pPr>
              <w:pBdr>
                <w:top w:val="nil"/>
                <w:left w:val="nil"/>
                <w:bottom w:val="nil"/>
                <w:right w:val="nil"/>
                <w:between w:val="nil"/>
              </w:pBdr>
              <w:ind w:left="720" w:hanging="399"/>
              <w:jc w:val="both"/>
            </w:pPr>
            <w:r>
              <w:t>●</w:t>
            </w:r>
            <w:r>
              <w:tab/>
              <w:t>For marketing and promotion activities (in case you opt in by giving explicit consent);</w:t>
            </w:r>
          </w:p>
          <w:p w14:paraId="1DF25465" w14:textId="77777777" w:rsidR="004A20FA" w:rsidRDefault="004A20FA" w:rsidP="00DF5FAB">
            <w:pPr>
              <w:pBdr>
                <w:top w:val="nil"/>
                <w:left w:val="nil"/>
                <w:bottom w:val="nil"/>
                <w:right w:val="nil"/>
                <w:between w:val="nil"/>
              </w:pBdr>
              <w:ind w:left="720" w:hanging="399"/>
              <w:jc w:val="both"/>
            </w:pPr>
            <w:r>
              <w:t>●</w:t>
            </w:r>
            <w:r>
              <w:tab/>
              <w:t xml:space="preserve">Make and maintain contact with the Data Subject in relation to such subject matters and similar event as well as for potential internships, or job fairs at Huawei; </w:t>
            </w:r>
          </w:p>
          <w:p w14:paraId="749C6DCC" w14:textId="77777777" w:rsidR="004A20FA" w:rsidRDefault="004A20FA" w:rsidP="00DF5FAB">
            <w:pPr>
              <w:pBdr>
                <w:top w:val="nil"/>
                <w:left w:val="nil"/>
                <w:bottom w:val="nil"/>
                <w:right w:val="nil"/>
                <w:between w:val="nil"/>
              </w:pBdr>
              <w:ind w:left="720" w:hanging="399"/>
              <w:jc w:val="both"/>
            </w:pPr>
            <w:r>
              <w:t>●</w:t>
            </w:r>
            <w:r>
              <w:tab/>
              <w:t>Managing taxation and accounting in connection to the prizes.</w:t>
            </w:r>
          </w:p>
          <w:p w14:paraId="302D1369" w14:textId="77777777" w:rsidR="004A439F" w:rsidRPr="00BA5E59" w:rsidRDefault="004A20FA" w:rsidP="00DF5FAB">
            <w:pPr>
              <w:pBdr>
                <w:top w:val="nil"/>
                <w:left w:val="nil"/>
                <w:bottom w:val="nil"/>
                <w:right w:val="nil"/>
                <w:between w:val="nil"/>
              </w:pBdr>
              <w:ind w:left="720" w:hanging="399"/>
              <w:jc w:val="both"/>
            </w:pPr>
            <w:r>
              <w:t>●</w:t>
            </w:r>
            <w:r>
              <w:tab/>
              <w:t>Managing the reimbursement of the transportation and accommodation.</w:t>
            </w:r>
          </w:p>
        </w:tc>
      </w:tr>
      <w:tr w:rsidR="004A439F" w:rsidRPr="00BA5E59" w14:paraId="47D671FD" w14:textId="77777777" w:rsidTr="001E1FB2">
        <w:tc>
          <w:tcPr>
            <w:tcW w:w="2830" w:type="dxa"/>
            <w:shd w:val="clear" w:color="auto" w:fill="F2F2F2"/>
          </w:tcPr>
          <w:p w14:paraId="7937AB90" w14:textId="77777777" w:rsidR="004A439F" w:rsidRPr="00BA5E59" w:rsidRDefault="004A439F" w:rsidP="001E1FB2">
            <w:r w:rsidRPr="00BA5E59">
              <w:lastRenderedPageBreak/>
              <w:t>The legal basis or bases we rely on to process the personal data</w:t>
            </w:r>
          </w:p>
        </w:tc>
        <w:tc>
          <w:tcPr>
            <w:tcW w:w="6186" w:type="dxa"/>
          </w:tcPr>
          <w:p w14:paraId="67BDA37A" w14:textId="77777777" w:rsidR="004A439F" w:rsidRPr="00BA5E59" w:rsidRDefault="004A439F" w:rsidP="00DF5FAB">
            <w:pPr>
              <w:jc w:val="both"/>
            </w:pPr>
            <w:r w:rsidRPr="00BA5E59">
              <w:t>Huawei processes such Personal Data on the following legal bases:</w:t>
            </w:r>
          </w:p>
          <w:p w14:paraId="71357C5F" w14:textId="77777777" w:rsidR="004A439F" w:rsidRPr="00BA5E59" w:rsidRDefault="004A439F" w:rsidP="00DF5FAB">
            <w:pPr>
              <w:numPr>
                <w:ilvl w:val="0"/>
                <w:numId w:val="3"/>
              </w:numPr>
              <w:pBdr>
                <w:top w:val="nil"/>
                <w:left w:val="nil"/>
                <w:bottom w:val="nil"/>
                <w:right w:val="nil"/>
                <w:between w:val="nil"/>
              </w:pBdr>
              <w:spacing w:after="0" w:line="240" w:lineRule="auto"/>
              <w:jc w:val="both"/>
            </w:pPr>
            <w:r w:rsidRPr="00BA5E59">
              <w:t>Art. 6 (1) (a) of the GDPR – explicit consent for certain data provided directly by the Data Subject, such as photos, video recording, etc.;</w:t>
            </w:r>
          </w:p>
          <w:p w14:paraId="2BF14EC9" w14:textId="77777777" w:rsidR="004A439F" w:rsidRPr="00BA5E59" w:rsidRDefault="004A439F" w:rsidP="00DF5FAB">
            <w:pPr>
              <w:numPr>
                <w:ilvl w:val="0"/>
                <w:numId w:val="3"/>
              </w:numPr>
              <w:spacing w:after="0" w:line="240" w:lineRule="auto"/>
              <w:jc w:val="both"/>
            </w:pPr>
            <w:r w:rsidRPr="00BA5E59">
              <w:t>Art. 6 (1) (f) of the GDPR - legitimate interests pursued by Huawei. The processing of personal data is essential for our business operations and the organization of the Event;</w:t>
            </w:r>
          </w:p>
          <w:p w14:paraId="63683BAD" w14:textId="77777777" w:rsidR="004A439F" w:rsidRPr="00BA5E59" w:rsidRDefault="004A439F" w:rsidP="00DF5FAB">
            <w:pPr>
              <w:numPr>
                <w:ilvl w:val="0"/>
                <w:numId w:val="3"/>
              </w:numPr>
              <w:spacing w:after="0" w:line="240" w:lineRule="auto"/>
              <w:jc w:val="both"/>
            </w:pPr>
            <w:r w:rsidRPr="00BA5E59">
              <w:t xml:space="preserve">Art 6 (1) (b) of the GDPR – processing personal data is necessary for entering into and perform a contract to which the Data Subject is a party. Failure to provide your personal data will prevent you from participating to the Event; </w:t>
            </w:r>
          </w:p>
          <w:p w14:paraId="30C640B4" w14:textId="77777777" w:rsidR="004A439F" w:rsidRPr="00BA5E59" w:rsidRDefault="004A439F" w:rsidP="00DF5FAB">
            <w:pPr>
              <w:numPr>
                <w:ilvl w:val="0"/>
                <w:numId w:val="3"/>
              </w:numPr>
              <w:spacing w:after="0" w:line="240" w:lineRule="auto"/>
              <w:jc w:val="both"/>
              <w:rPr>
                <w:rFonts w:ascii="Times New Roman" w:eastAsia="Times New Roman" w:hAnsi="Times New Roman" w:cs="Times New Roman"/>
                <w:sz w:val="24"/>
                <w:szCs w:val="24"/>
              </w:rPr>
            </w:pPr>
            <w:r w:rsidRPr="00BA5E59">
              <w:t>Art. 6. (1) (c) of the GDPR – processing personal data is necessary for fulfilling the legal obligations to which Huawei is subject, for example the duty to keep records for taxation</w:t>
            </w:r>
            <w:r w:rsidRPr="00BA5E59">
              <w:rPr>
                <w:rFonts w:ascii="Times New Roman" w:eastAsia="Times New Roman" w:hAnsi="Times New Roman" w:cs="Times New Roman"/>
                <w:sz w:val="24"/>
                <w:szCs w:val="24"/>
              </w:rPr>
              <w:t>.</w:t>
            </w:r>
          </w:p>
          <w:p w14:paraId="40ACFF99" w14:textId="77777777" w:rsidR="004A439F" w:rsidRPr="00BA5E59" w:rsidRDefault="004A439F" w:rsidP="00DF5FAB">
            <w:pPr>
              <w:pBdr>
                <w:top w:val="nil"/>
                <w:left w:val="nil"/>
                <w:bottom w:val="nil"/>
                <w:right w:val="nil"/>
                <w:between w:val="nil"/>
              </w:pBdr>
              <w:spacing w:before="120" w:after="120"/>
              <w:jc w:val="both"/>
            </w:pPr>
            <w:r w:rsidRPr="00BA5E59">
              <w:t>Please note however that the withdrawal of your consent will not affect any use of the information made before you withdrew your consent; nor does it affect any data processing based on another justification other than your consent.</w:t>
            </w:r>
          </w:p>
        </w:tc>
      </w:tr>
      <w:tr w:rsidR="004A439F" w:rsidRPr="00BA5E59" w14:paraId="26C4308B" w14:textId="77777777" w:rsidTr="001E1FB2">
        <w:tc>
          <w:tcPr>
            <w:tcW w:w="2830" w:type="dxa"/>
            <w:shd w:val="clear" w:color="auto" w:fill="F2F2F2"/>
          </w:tcPr>
          <w:p w14:paraId="08DFD5D9" w14:textId="77777777" w:rsidR="004A439F" w:rsidRPr="00BA5E59" w:rsidRDefault="004A439F" w:rsidP="001E1FB2">
            <w:r w:rsidRPr="00BA5E59">
              <w:t>Who can access to your personal data</w:t>
            </w:r>
          </w:p>
        </w:tc>
        <w:tc>
          <w:tcPr>
            <w:tcW w:w="6186" w:type="dxa"/>
          </w:tcPr>
          <w:p w14:paraId="54A15430" w14:textId="6709D6EE" w:rsidR="004A439F" w:rsidRDefault="004A439F" w:rsidP="00DF5FAB">
            <w:pPr>
              <w:jc w:val="both"/>
            </w:pPr>
            <w:r>
              <w:t>Your personal data may be shared with directors, managers and/or other employees within the Huawei group (IT, HR) who are involved in the organization and performance of the Event and other related activities, and with any other authorized staff within the Huawei group.</w:t>
            </w:r>
          </w:p>
          <w:p w14:paraId="4C279D23" w14:textId="77777777" w:rsidR="004A439F" w:rsidRPr="00BA5E59" w:rsidRDefault="004A439F" w:rsidP="00DF5FAB">
            <w:pPr>
              <w:jc w:val="both"/>
            </w:pPr>
            <w:r>
              <w:t>Huawei may furthermore need to disclose your personal data to law enforcement agencies or other government agencies as imposed by applicable laws or legal processes. Furthermore, Huawei may also need to your personal data to third parties (i.e. service providers), for instance to book tickets and/or hotel rooms, to arrange pick-up services, to reimburse Event participants with respect to Event-related expenses, to have a video presentation made of the Event, to have photographs taken at the Event, etc.</w:t>
            </w:r>
          </w:p>
        </w:tc>
      </w:tr>
      <w:tr w:rsidR="004A439F" w:rsidRPr="00BA5E59" w14:paraId="35E17BEE" w14:textId="77777777" w:rsidTr="001E1FB2">
        <w:tc>
          <w:tcPr>
            <w:tcW w:w="2830" w:type="dxa"/>
            <w:shd w:val="clear" w:color="auto" w:fill="F2F2F2"/>
          </w:tcPr>
          <w:p w14:paraId="4F86FC64" w14:textId="77777777" w:rsidR="004A439F" w:rsidRPr="00BA5E59" w:rsidRDefault="004A439F" w:rsidP="001E1FB2">
            <w:r w:rsidRPr="00BA5E59">
              <w:lastRenderedPageBreak/>
              <w:t>How we protect your personal data</w:t>
            </w:r>
          </w:p>
        </w:tc>
        <w:tc>
          <w:tcPr>
            <w:tcW w:w="6186" w:type="dxa"/>
          </w:tcPr>
          <w:p w14:paraId="088D7581" w14:textId="77777777" w:rsidR="004A439F" w:rsidRPr="00BA5E59" w:rsidRDefault="004A439F" w:rsidP="00DF5FAB">
            <w:pPr>
              <w:jc w:val="both"/>
            </w:pPr>
            <w:r w:rsidRPr="00BA5E59">
              <w:t>We aim to take all reasonable organizational and technical measures to protect your Personal Data from unauthorized access, disclosure, use, modification, damage or loss. We will continue improving these measures to protect the security of your Personal Data. For example, we use encryptions to ensure data confidentiality; we use trusted protection mechanisms to protect data from malicious attacks; we deploy access control mechanisms to ensure only authorized personnel can access Personal Data; and we raise awareness among employees about the importance of protecting Personal Data through security and privacy protection training sessions.</w:t>
            </w:r>
          </w:p>
        </w:tc>
      </w:tr>
    </w:tbl>
    <w:p w14:paraId="265C176E" w14:textId="77777777" w:rsidR="004A439F" w:rsidRPr="00BA5E59" w:rsidRDefault="004A439F" w:rsidP="004A439F">
      <w:pPr>
        <w:spacing w:after="0"/>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A439F" w:rsidRPr="00BA5E59" w14:paraId="0F39CE02" w14:textId="77777777" w:rsidTr="001E1FB2">
        <w:tc>
          <w:tcPr>
            <w:tcW w:w="9016" w:type="dxa"/>
            <w:shd w:val="clear" w:color="auto" w:fill="D9D9D9"/>
          </w:tcPr>
          <w:p w14:paraId="35FB92C1" w14:textId="77777777" w:rsidR="004A439F" w:rsidRPr="00BA5E59" w:rsidRDefault="004A439F" w:rsidP="001E1FB2">
            <w:pPr>
              <w:rPr>
                <w:b/>
              </w:rPr>
            </w:pPr>
            <w:r w:rsidRPr="00BA5E59">
              <w:rPr>
                <w:b/>
              </w:rPr>
              <w:t>How long we retain the Personal Data for</w:t>
            </w:r>
          </w:p>
        </w:tc>
      </w:tr>
      <w:tr w:rsidR="004A439F" w:rsidRPr="00BA5E59" w14:paraId="5C0DDE54" w14:textId="77777777" w:rsidTr="001E1FB2">
        <w:tc>
          <w:tcPr>
            <w:tcW w:w="9016" w:type="dxa"/>
          </w:tcPr>
          <w:p w14:paraId="37A0D8AD" w14:textId="77777777" w:rsidR="004A439F" w:rsidRPr="00BA5E59" w:rsidRDefault="004A439F" w:rsidP="00DF5FAB">
            <w:pPr>
              <w:pStyle w:val="ListParagraph"/>
              <w:numPr>
                <w:ilvl w:val="0"/>
                <w:numId w:val="7"/>
              </w:numPr>
              <w:spacing w:after="0" w:line="240" w:lineRule="auto"/>
              <w:jc w:val="both"/>
            </w:pPr>
            <w:r w:rsidRPr="00BA5E59">
              <w:t>Personal data that are collected and processed for the purposes of contacting and communicating with the Data Subject, with respect to the practical information of this Event (including but not limited to sending out invitations, processing the registration, booking tickets and hotels, arranging pick-up services, etc.), as well as information about similar activities/events held by Huawei, or promotion of future cooperation, will be retained for two (2) years from the end of the Event;</w:t>
            </w:r>
          </w:p>
          <w:p w14:paraId="30A5364C" w14:textId="77777777" w:rsidR="004A439F" w:rsidRPr="00BA5E59" w:rsidRDefault="004A439F" w:rsidP="00DF5FAB">
            <w:pPr>
              <w:pStyle w:val="ListParagraph"/>
              <w:numPr>
                <w:ilvl w:val="0"/>
                <w:numId w:val="7"/>
              </w:numPr>
              <w:spacing w:after="0" w:line="240" w:lineRule="auto"/>
              <w:jc w:val="both"/>
            </w:pPr>
            <w:r w:rsidRPr="00BA5E59">
              <w:t xml:space="preserve">Personal data that are collected and processed for the purposes of fulfilling Huawei’s legal obligations, such as accounting and taxation, will be retained for as long as it is necessary for the purposes as indicated by Huawei, and not shorter than the minimum retention period as set by the local applicable laws and regulations. In some cases, this sort of data will be </w:t>
            </w:r>
            <w:r w:rsidRPr="00BA5E59">
              <w:rPr>
                <w:lang w:val="en-US"/>
              </w:rPr>
              <w:t>archived</w:t>
            </w:r>
            <w:r w:rsidRPr="00BA5E59">
              <w:t xml:space="preserve"> for ten (10) years from the date of the collection;</w:t>
            </w:r>
          </w:p>
          <w:p w14:paraId="4D20C618" w14:textId="77777777" w:rsidR="004A439F" w:rsidRPr="00BA5E59" w:rsidRDefault="004A439F" w:rsidP="00DF5FAB">
            <w:pPr>
              <w:pStyle w:val="ListParagraph"/>
              <w:numPr>
                <w:ilvl w:val="0"/>
                <w:numId w:val="7"/>
              </w:numPr>
              <w:spacing w:after="0" w:line="240" w:lineRule="auto"/>
              <w:jc w:val="both"/>
            </w:pPr>
            <w:r w:rsidRPr="00BA5E59">
              <w:t xml:space="preserve">Personal data that are collected and processed based on the Data Subject’s explicit consent, such as photos and video recordings, will be retained for as long as it is necessary for fulfilling the purposes as indicated by Huawei, and in compliance with local applicable laws and regulations as well as sector standards. As the Data Subject, you have the right to withdraw your consent at any time by submitting your request on the platform: </w:t>
            </w:r>
            <w:hyperlink r:id="rId7" w:history="1">
              <w:r w:rsidRPr="00BA5E59">
                <w:rPr>
                  <w:rStyle w:val="Hyperlink"/>
                  <w:color w:val="0070C0"/>
                </w:rPr>
                <w:t>https://www.huawei.com/en/personal-data-request</w:t>
              </w:r>
            </w:hyperlink>
          </w:p>
          <w:p w14:paraId="7D5C614E" w14:textId="77777777" w:rsidR="004A439F" w:rsidRPr="00BA5E59" w:rsidRDefault="004A439F" w:rsidP="00DF5FAB">
            <w:pPr>
              <w:pStyle w:val="ListParagraph"/>
              <w:jc w:val="both"/>
            </w:pPr>
            <w:r w:rsidRPr="00BA5E59">
              <w:t>Please note however that the withdrawal of your consent will not affect any use of the information made before you withdrew your consent; nor does it affect any data processing based on another justification other than your consent.</w:t>
            </w:r>
          </w:p>
        </w:tc>
      </w:tr>
    </w:tbl>
    <w:p w14:paraId="1B17130F" w14:textId="77777777" w:rsidR="004A439F" w:rsidRPr="00BA5E59" w:rsidRDefault="004A439F" w:rsidP="004A439F"/>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4A439F" w:rsidRPr="00BA5E59" w14:paraId="27411623" w14:textId="77777777" w:rsidTr="001E1FB2">
        <w:tc>
          <w:tcPr>
            <w:tcW w:w="9016" w:type="dxa"/>
            <w:gridSpan w:val="2"/>
            <w:tcBorders>
              <w:top w:val="single" w:sz="4" w:space="0" w:color="000000"/>
              <w:left w:val="single" w:sz="4" w:space="0" w:color="000000"/>
              <w:bottom w:val="nil"/>
              <w:right w:val="single" w:sz="4" w:space="0" w:color="000000"/>
            </w:tcBorders>
            <w:shd w:val="clear" w:color="auto" w:fill="D9D9D9"/>
          </w:tcPr>
          <w:p w14:paraId="5F42F86B" w14:textId="77777777" w:rsidR="004A439F" w:rsidRPr="00BA5E59" w:rsidRDefault="004A439F" w:rsidP="001E1FB2">
            <w:pPr>
              <w:rPr>
                <w:b/>
              </w:rPr>
            </w:pPr>
            <w:r w:rsidRPr="00BA5E59">
              <w:rPr>
                <w:b/>
              </w:rPr>
              <w:t>Transfer of Personal Data out of the EEA</w:t>
            </w:r>
          </w:p>
        </w:tc>
      </w:tr>
      <w:tr w:rsidR="004A439F" w:rsidRPr="00BA5E59" w14:paraId="710C2230" w14:textId="77777777" w:rsidTr="001E1FB2">
        <w:tc>
          <w:tcPr>
            <w:tcW w:w="9016" w:type="dxa"/>
            <w:gridSpan w:val="2"/>
            <w:tcBorders>
              <w:top w:val="nil"/>
              <w:left w:val="single" w:sz="4" w:space="0" w:color="000000"/>
              <w:bottom w:val="single" w:sz="4" w:space="0" w:color="000000"/>
              <w:right w:val="single" w:sz="4" w:space="0" w:color="000000"/>
            </w:tcBorders>
          </w:tcPr>
          <w:p w14:paraId="06FAFA76" w14:textId="77777777" w:rsidR="004A439F" w:rsidRPr="00BA5E59" w:rsidRDefault="004A439F" w:rsidP="001E1FB2">
            <w:r w:rsidRPr="00BA5E59">
              <w:t xml:space="preserve">Huawei is a world-wide group of companies, which operates not necessarily along the borders of legal entities and countries, but according to functions which may exist across various group companies and countries. Like most global organisations, Huawei has centralised data management systems in place which involve Personal Data being accessible by Huawei group companies outside of the European Economic Area.  </w:t>
            </w:r>
          </w:p>
          <w:p w14:paraId="416CFB5E" w14:textId="77777777" w:rsidR="004A439F" w:rsidRPr="00BA5E59" w:rsidRDefault="004A439F" w:rsidP="001E1FB2">
            <w:r w:rsidRPr="00BA5E59">
              <w:t>In particular, we have R&amp;D Centres and cooperation team members in various countries. We also have IT management systems as well as events, travelling and accommodation support, which are hosted and managed by our parent company (Huawei Technologies Co. Ltd.) and affiliates supporting events (</w:t>
            </w:r>
            <w:proofErr w:type="spellStart"/>
            <w:r w:rsidRPr="00BA5E59">
              <w:t>Smartcom</w:t>
            </w:r>
            <w:proofErr w:type="spellEnd"/>
            <w:r w:rsidRPr="00BA5E59">
              <w:t xml:space="preserve"> (Hong Kong) Co., Ltd.).  </w:t>
            </w:r>
          </w:p>
          <w:p w14:paraId="0D181C8E" w14:textId="03B6ADC2" w:rsidR="004A439F" w:rsidRPr="00DF5FAB" w:rsidRDefault="004A439F" w:rsidP="001E1FB2">
            <w:r w:rsidRPr="00BA5E59">
              <w:lastRenderedPageBreak/>
              <w:t xml:space="preserve">This international transfer of Personal Data is covered by appropriate safeguards for the transfer of personal data to a third country by adopting the standard data protection clauses adopted by the European Commission in accordance with the Committee procedure set out in Article 93(2) GDPR.  Further information about the appropriate safeguards may be obtained from </w:t>
            </w:r>
            <w:hyperlink r:id="rId8" w:history="1">
              <w:r w:rsidRPr="00BA5E59">
                <w:rPr>
                  <w:rStyle w:val="Hyperlink"/>
                  <w:color w:val="0070C0"/>
                </w:rPr>
                <w:t>https://www.huawei.com/en/privacy-policy</w:t>
              </w:r>
            </w:hyperlink>
          </w:p>
        </w:tc>
      </w:tr>
      <w:tr w:rsidR="004A439F" w:rsidRPr="00BA5E59" w14:paraId="0645259F" w14:textId="77777777" w:rsidTr="001E1FB2">
        <w:tc>
          <w:tcPr>
            <w:tcW w:w="9016" w:type="dxa"/>
            <w:gridSpan w:val="2"/>
            <w:tcBorders>
              <w:top w:val="single" w:sz="4" w:space="0" w:color="000000"/>
              <w:left w:val="nil"/>
              <w:bottom w:val="nil"/>
              <w:right w:val="nil"/>
            </w:tcBorders>
          </w:tcPr>
          <w:p w14:paraId="79888AE3" w14:textId="77777777" w:rsidR="004A439F" w:rsidRPr="00BA5E59" w:rsidRDefault="004A439F" w:rsidP="001E1FB2"/>
        </w:tc>
      </w:tr>
      <w:tr w:rsidR="004A439F" w:rsidRPr="00BA5E59" w14:paraId="786A3D89" w14:textId="77777777" w:rsidTr="001E1FB2">
        <w:tc>
          <w:tcPr>
            <w:tcW w:w="9016" w:type="dxa"/>
            <w:gridSpan w:val="2"/>
            <w:tcBorders>
              <w:top w:val="nil"/>
            </w:tcBorders>
            <w:shd w:val="clear" w:color="auto" w:fill="D0CECE"/>
          </w:tcPr>
          <w:p w14:paraId="25C101AE" w14:textId="77777777" w:rsidR="004A439F" w:rsidRPr="00BA5E59" w:rsidRDefault="004A439F" w:rsidP="001E1FB2">
            <w:pPr>
              <w:rPr>
                <w:b/>
              </w:rPr>
            </w:pPr>
            <w:r w:rsidRPr="00BA5E59">
              <w:rPr>
                <w:b/>
              </w:rPr>
              <w:t>Your rights as a data subject</w:t>
            </w:r>
          </w:p>
        </w:tc>
      </w:tr>
      <w:tr w:rsidR="004A439F" w:rsidRPr="00BA5E59" w14:paraId="6AB8366A" w14:textId="77777777" w:rsidTr="001E1FB2">
        <w:tc>
          <w:tcPr>
            <w:tcW w:w="9016" w:type="dxa"/>
            <w:gridSpan w:val="2"/>
          </w:tcPr>
          <w:p w14:paraId="1EC79BFF" w14:textId="77777777" w:rsidR="004A439F" w:rsidRPr="00BA5E59" w:rsidRDefault="004A439F" w:rsidP="001E1FB2">
            <w:r w:rsidRPr="00BA5E59">
              <w:t xml:space="preserve">As a Data Subject, you have the following legal rights in relation to your Personal Data.  </w:t>
            </w:r>
          </w:p>
        </w:tc>
      </w:tr>
      <w:tr w:rsidR="004A439F" w:rsidRPr="00BA5E59" w14:paraId="5090B9DE" w14:textId="77777777" w:rsidTr="001E1FB2">
        <w:trPr>
          <w:trHeight w:val="147"/>
        </w:trPr>
        <w:tc>
          <w:tcPr>
            <w:tcW w:w="2547" w:type="dxa"/>
            <w:shd w:val="clear" w:color="auto" w:fill="F2F2F2"/>
          </w:tcPr>
          <w:p w14:paraId="380C63DD" w14:textId="77777777" w:rsidR="004A439F" w:rsidRPr="00BA5E59" w:rsidRDefault="004A439F" w:rsidP="001E1FB2">
            <w:pPr>
              <w:rPr>
                <w:b/>
              </w:rPr>
            </w:pPr>
            <w:r w:rsidRPr="00BA5E59">
              <w:rPr>
                <w:b/>
              </w:rPr>
              <w:t>Right of Access</w:t>
            </w:r>
          </w:p>
        </w:tc>
        <w:tc>
          <w:tcPr>
            <w:tcW w:w="6469" w:type="dxa"/>
          </w:tcPr>
          <w:p w14:paraId="4E5FE994" w14:textId="77777777" w:rsidR="004A439F" w:rsidRPr="00BA5E59" w:rsidRDefault="004A439F" w:rsidP="001E1FB2">
            <w:r w:rsidRPr="00BA5E59">
              <w:t xml:space="preserve">You have the right to obtain from Huawei confirmation as to whether or not Personal Data concerning you is being processed and, where that is the case, access to a copy of the Personal Data and specific information about how Huawei processes the Personal Data.  </w:t>
            </w:r>
          </w:p>
        </w:tc>
      </w:tr>
      <w:tr w:rsidR="004A439F" w:rsidRPr="00BA5E59" w14:paraId="3F5E2684" w14:textId="77777777" w:rsidTr="001E1FB2">
        <w:trPr>
          <w:trHeight w:val="146"/>
        </w:trPr>
        <w:tc>
          <w:tcPr>
            <w:tcW w:w="2547" w:type="dxa"/>
            <w:shd w:val="clear" w:color="auto" w:fill="F2F2F2"/>
          </w:tcPr>
          <w:p w14:paraId="5B375117" w14:textId="77777777" w:rsidR="004A439F" w:rsidRPr="00BA5E59" w:rsidRDefault="004A439F" w:rsidP="001E1FB2">
            <w:pPr>
              <w:rPr>
                <w:b/>
              </w:rPr>
            </w:pPr>
            <w:r w:rsidRPr="00BA5E59">
              <w:rPr>
                <w:b/>
              </w:rPr>
              <w:t>Right of Rectification (Correction)</w:t>
            </w:r>
          </w:p>
        </w:tc>
        <w:tc>
          <w:tcPr>
            <w:tcW w:w="6469" w:type="dxa"/>
          </w:tcPr>
          <w:p w14:paraId="742EB838" w14:textId="77777777" w:rsidR="004A439F" w:rsidRPr="00BA5E59" w:rsidRDefault="004A439F" w:rsidP="001E1FB2">
            <w:r w:rsidRPr="00BA5E59">
              <w:t xml:space="preserve">You have the right to obtain from Huawei the correction of inaccurate Personal Data concerning you and also the right to have incomplete Personal Data completed. </w:t>
            </w:r>
          </w:p>
        </w:tc>
      </w:tr>
      <w:tr w:rsidR="004A439F" w:rsidRPr="00BA5E59" w14:paraId="4E58189C" w14:textId="77777777" w:rsidTr="001E1FB2">
        <w:trPr>
          <w:trHeight w:val="146"/>
        </w:trPr>
        <w:tc>
          <w:tcPr>
            <w:tcW w:w="2547" w:type="dxa"/>
            <w:shd w:val="clear" w:color="auto" w:fill="F2F2F2"/>
          </w:tcPr>
          <w:p w14:paraId="19F87EA1" w14:textId="77777777" w:rsidR="004A439F" w:rsidRPr="00BA5E59" w:rsidRDefault="004A439F" w:rsidP="001E1FB2">
            <w:pPr>
              <w:rPr>
                <w:b/>
              </w:rPr>
            </w:pPr>
            <w:r w:rsidRPr="00BA5E59">
              <w:rPr>
                <w:b/>
              </w:rPr>
              <w:t>Right of Erasure (Deletion)</w:t>
            </w:r>
          </w:p>
        </w:tc>
        <w:tc>
          <w:tcPr>
            <w:tcW w:w="6469" w:type="dxa"/>
          </w:tcPr>
          <w:p w14:paraId="6D1EB6CF" w14:textId="77777777" w:rsidR="004A439F" w:rsidRPr="00BA5E59" w:rsidRDefault="004A439F" w:rsidP="001E1FB2">
            <w:r w:rsidRPr="00BA5E59">
              <w:t xml:space="preserve">You have the right to obtain from Huawei the erasure (deletion) of your Personal Data in particular circumstances. </w:t>
            </w:r>
          </w:p>
        </w:tc>
      </w:tr>
      <w:tr w:rsidR="004A439F" w:rsidRPr="00BA5E59" w14:paraId="4ECCB14E" w14:textId="77777777" w:rsidTr="001E1FB2">
        <w:trPr>
          <w:trHeight w:val="146"/>
        </w:trPr>
        <w:tc>
          <w:tcPr>
            <w:tcW w:w="2547" w:type="dxa"/>
            <w:shd w:val="clear" w:color="auto" w:fill="F2F2F2"/>
          </w:tcPr>
          <w:p w14:paraId="24B50ACA" w14:textId="77777777" w:rsidR="004A439F" w:rsidRPr="00BA5E59" w:rsidRDefault="004A439F" w:rsidP="001E1FB2">
            <w:pPr>
              <w:rPr>
                <w:b/>
              </w:rPr>
            </w:pPr>
            <w:r w:rsidRPr="00BA5E59">
              <w:rPr>
                <w:b/>
              </w:rPr>
              <w:t xml:space="preserve">Right of Restriction </w:t>
            </w:r>
          </w:p>
        </w:tc>
        <w:tc>
          <w:tcPr>
            <w:tcW w:w="6469" w:type="dxa"/>
          </w:tcPr>
          <w:p w14:paraId="506BB35C" w14:textId="77777777" w:rsidR="004A439F" w:rsidRPr="00BA5E59" w:rsidRDefault="004A439F" w:rsidP="001E1FB2">
            <w:r w:rsidRPr="00BA5E59">
              <w:t xml:space="preserve">You have the right to obtain from Huawei restriction of processing in particular circumstances. </w:t>
            </w:r>
          </w:p>
        </w:tc>
      </w:tr>
      <w:tr w:rsidR="004A439F" w:rsidRPr="00BA5E59" w14:paraId="746F59F7" w14:textId="77777777" w:rsidTr="001E1FB2">
        <w:trPr>
          <w:trHeight w:val="146"/>
        </w:trPr>
        <w:tc>
          <w:tcPr>
            <w:tcW w:w="2547" w:type="dxa"/>
            <w:shd w:val="clear" w:color="auto" w:fill="F2F2F2"/>
          </w:tcPr>
          <w:p w14:paraId="1DBAD1DC" w14:textId="77777777" w:rsidR="004A439F" w:rsidRPr="00BA5E59" w:rsidRDefault="004A439F" w:rsidP="001E1FB2">
            <w:pPr>
              <w:rPr>
                <w:b/>
              </w:rPr>
            </w:pPr>
            <w:r w:rsidRPr="00BA5E59">
              <w:rPr>
                <w:b/>
              </w:rPr>
              <w:t>Right of Objection</w:t>
            </w:r>
          </w:p>
        </w:tc>
        <w:tc>
          <w:tcPr>
            <w:tcW w:w="6469" w:type="dxa"/>
          </w:tcPr>
          <w:p w14:paraId="23119434" w14:textId="77777777" w:rsidR="004A439F" w:rsidRPr="00BA5E59" w:rsidRDefault="004A439F" w:rsidP="001E1FB2">
            <w:r w:rsidRPr="00BA5E59">
              <w:t xml:space="preserve">You have the right to object to the processing of your Personal Data in particular circumstances. </w:t>
            </w:r>
          </w:p>
        </w:tc>
      </w:tr>
      <w:tr w:rsidR="004A439F" w:rsidRPr="00BA5E59" w14:paraId="32968741" w14:textId="77777777" w:rsidTr="001E1FB2">
        <w:trPr>
          <w:trHeight w:val="146"/>
        </w:trPr>
        <w:tc>
          <w:tcPr>
            <w:tcW w:w="2547" w:type="dxa"/>
            <w:shd w:val="clear" w:color="auto" w:fill="F2F2F2"/>
          </w:tcPr>
          <w:p w14:paraId="6EDB5915" w14:textId="77777777" w:rsidR="004A439F" w:rsidRPr="00BA5E59" w:rsidRDefault="004A439F" w:rsidP="001E1FB2">
            <w:pPr>
              <w:rPr>
                <w:b/>
              </w:rPr>
            </w:pPr>
            <w:r w:rsidRPr="00BA5E59">
              <w:rPr>
                <w:b/>
              </w:rPr>
              <w:t>Right of Portability</w:t>
            </w:r>
          </w:p>
        </w:tc>
        <w:tc>
          <w:tcPr>
            <w:tcW w:w="6469" w:type="dxa"/>
          </w:tcPr>
          <w:p w14:paraId="6FF55A4F" w14:textId="77777777" w:rsidR="004A439F" w:rsidRPr="00BA5E59" w:rsidRDefault="004A439F" w:rsidP="001E1FB2">
            <w:r w:rsidRPr="00BA5E59">
              <w:t xml:space="preserve">In certain circumstances, you have the right to receive your Personal Data in a structured, commonly used and machine-readable format and have the right to transmit those data to another controller. </w:t>
            </w:r>
          </w:p>
        </w:tc>
      </w:tr>
      <w:tr w:rsidR="004A439F" w:rsidRPr="00BA5E59" w14:paraId="3E2EE58B" w14:textId="77777777" w:rsidTr="001E1FB2">
        <w:trPr>
          <w:trHeight w:val="146"/>
        </w:trPr>
        <w:tc>
          <w:tcPr>
            <w:tcW w:w="2547" w:type="dxa"/>
            <w:shd w:val="clear" w:color="auto" w:fill="F2F2F2"/>
          </w:tcPr>
          <w:p w14:paraId="53CF9A82" w14:textId="77777777" w:rsidR="004A439F" w:rsidRPr="00BA5E59" w:rsidRDefault="004A439F" w:rsidP="001E1FB2">
            <w:pPr>
              <w:rPr>
                <w:b/>
              </w:rPr>
            </w:pPr>
            <w:r w:rsidRPr="00BA5E59">
              <w:rPr>
                <w:b/>
              </w:rPr>
              <w:t>Right to Withdraw Consent</w:t>
            </w:r>
          </w:p>
        </w:tc>
        <w:tc>
          <w:tcPr>
            <w:tcW w:w="6469" w:type="dxa"/>
          </w:tcPr>
          <w:p w14:paraId="5E675B85" w14:textId="77777777" w:rsidR="004A439F" w:rsidRPr="00BA5E59" w:rsidRDefault="004A439F" w:rsidP="001E1FB2">
            <w:r w:rsidRPr="00BA5E59">
              <w:t xml:space="preserve">Where the legal basis of processing Personal Data is based on consent, you have the right to withdraw your consent at any time. </w:t>
            </w:r>
          </w:p>
        </w:tc>
      </w:tr>
      <w:tr w:rsidR="004A439F" w:rsidRPr="00BA5E59" w14:paraId="5462D650" w14:textId="77777777" w:rsidTr="001E1FB2">
        <w:trPr>
          <w:trHeight w:val="146"/>
        </w:trPr>
        <w:tc>
          <w:tcPr>
            <w:tcW w:w="2547" w:type="dxa"/>
            <w:shd w:val="clear" w:color="auto" w:fill="F2F2F2"/>
          </w:tcPr>
          <w:p w14:paraId="2828D260" w14:textId="77777777" w:rsidR="004A439F" w:rsidRPr="00BA5E59" w:rsidRDefault="004A439F" w:rsidP="001E1FB2">
            <w:pPr>
              <w:rPr>
                <w:b/>
              </w:rPr>
            </w:pPr>
            <w:r w:rsidRPr="00BA5E59">
              <w:rPr>
                <w:b/>
              </w:rPr>
              <w:t>Right to lodge a Complaint</w:t>
            </w:r>
          </w:p>
        </w:tc>
        <w:tc>
          <w:tcPr>
            <w:tcW w:w="6469" w:type="dxa"/>
          </w:tcPr>
          <w:p w14:paraId="411B6E4A" w14:textId="77777777" w:rsidR="004A439F" w:rsidRPr="00BA5E59" w:rsidRDefault="004A439F" w:rsidP="001E1FB2">
            <w:pPr>
              <w:ind w:hanging="50"/>
            </w:pPr>
            <w:r w:rsidRPr="00BA5E59">
              <w:t xml:space="preserve">You have the right to lodge a complaint with the national supervisory authority: </w:t>
            </w:r>
            <w:hyperlink r:id="rId9" w:history="1">
              <w:r w:rsidRPr="00BA5E59">
                <w:rPr>
                  <w:rStyle w:val="Hyperlink"/>
                  <w:color w:val="0070C0"/>
                </w:rPr>
                <w:t>https://www.gegevensbeschermingsautoriteit.be/burger/acties/contact</w:t>
              </w:r>
            </w:hyperlink>
          </w:p>
        </w:tc>
      </w:tr>
    </w:tbl>
    <w:p w14:paraId="6EC49533" w14:textId="77777777" w:rsidR="004A439F" w:rsidRPr="00BA5E59" w:rsidRDefault="004A439F" w:rsidP="004A439F"/>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4A439F" w:rsidRPr="00BA5E59" w14:paraId="448EA8F5" w14:textId="77777777" w:rsidTr="001E1FB2">
        <w:tc>
          <w:tcPr>
            <w:tcW w:w="9016" w:type="dxa"/>
            <w:gridSpan w:val="2"/>
            <w:shd w:val="clear" w:color="auto" w:fill="BFBFBF"/>
          </w:tcPr>
          <w:p w14:paraId="069CB314" w14:textId="77777777" w:rsidR="004A439F" w:rsidRPr="00BA5E59" w:rsidRDefault="004A439F" w:rsidP="001E1FB2">
            <w:r w:rsidRPr="00BA5E59">
              <w:rPr>
                <w:b/>
              </w:rPr>
              <w:t>Glossary</w:t>
            </w:r>
          </w:p>
        </w:tc>
      </w:tr>
      <w:tr w:rsidR="004A439F" w:rsidRPr="00BA5E59" w14:paraId="4AE71EE4" w14:textId="77777777" w:rsidTr="001E1FB2">
        <w:tc>
          <w:tcPr>
            <w:tcW w:w="2547" w:type="dxa"/>
            <w:shd w:val="clear" w:color="auto" w:fill="F2F2F2"/>
          </w:tcPr>
          <w:p w14:paraId="2FF49CAA" w14:textId="77777777" w:rsidR="004A439F" w:rsidRPr="00BA5E59" w:rsidRDefault="004A439F" w:rsidP="001E1FB2">
            <w:pPr>
              <w:rPr>
                <w:b/>
              </w:rPr>
            </w:pPr>
            <w:r w:rsidRPr="00BA5E59">
              <w:rPr>
                <w:b/>
              </w:rPr>
              <w:t>Controller</w:t>
            </w:r>
          </w:p>
        </w:tc>
        <w:tc>
          <w:tcPr>
            <w:tcW w:w="6469" w:type="dxa"/>
          </w:tcPr>
          <w:p w14:paraId="562B018B" w14:textId="77777777" w:rsidR="004A439F" w:rsidRPr="00BA5E59" w:rsidRDefault="004A439F" w:rsidP="001E1FB2">
            <w:r w:rsidRPr="00BA5E59">
              <w:t>An organisation who (alone or jointly with others) determines the purposes and means of the processing of Personal Data.</w:t>
            </w:r>
          </w:p>
        </w:tc>
      </w:tr>
      <w:tr w:rsidR="004A439F" w:rsidRPr="00BA5E59" w14:paraId="0A3B6935" w14:textId="77777777" w:rsidTr="001E1FB2">
        <w:tc>
          <w:tcPr>
            <w:tcW w:w="2547" w:type="dxa"/>
            <w:shd w:val="clear" w:color="auto" w:fill="F2F2F2"/>
          </w:tcPr>
          <w:p w14:paraId="1F98F22A" w14:textId="77777777" w:rsidR="004A439F" w:rsidRPr="00BA5E59" w:rsidRDefault="004A439F" w:rsidP="001E1FB2">
            <w:pPr>
              <w:rPr>
                <w:b/>
              </w:rPr>
            </w:pPr>
            <w:r w:rsidRPr="00BA5E59">
              <w:rPr>
                <w:b/>
              </w:rPr>
              <w:t>Data Transfer Agreement</w:t>
            </w:r>
          </w:p>
        </w:tc>
        <w:tc>
          <w:tcPr>
            <w:tcW w:w="6469" w:type="dxa"/>
          </w:tcPr>
          <w:p w14:paraId="498EE6DC" w14:textId="77777777" w:rsidR="004A439F" w:rsidRPr="00BA5E59" w:rsidRDefault="004A439F" w:rsidP="001E1FB2">
            <w:r w:rsidRPr="00BA5E59">
              <w:t>An agreement containing standard data protection clauses adopted by the European Union Commission as referred to in Article 46(2)(c) of the GDPR.</w:t>
            </w:r>
          </w:p>
        </w:tc>
      </w:tr>
      <w:tr w:rsidR="004A439F" w:rsidRPr="00BA5E59" w14:paraId="1D6EEBF6" w14:textId="77777777" w:rsidTr="001E1FB2">
        <w:tc>
          <w:tcPr>
            <w:tcW w:w="2547" w:type="dxa"/>
            <w:shd w:val="clear" w:color="auto" w:fill="F2F2F2"/>
          </w:tcPr>
          <w:p w14:paraId="243FBD38" w14:textId="77777777" w:rsidR="004A439F" w:rsidRPr="00BA5E59" w:rsidRDefault="004A439F" w:rsidP="001E1FB2">
            <w:pPr>
              <w:rPr>
                <w:b/>
              </w:rPr>
            </w:pPr>
            <w:r w:rsidRPr="00BA5E59">
              <w:rPr>
                <w:b/>
              </w:rPr>
              <w:lastRenderedPageBreak/>
              <w:t>Data Subject</w:t>
            </w:r>
          </w:p>
        </w:tc>
        <w:tc>
          <w:tcPr>
            <w:tcW w:w="6469" w:type="dxa"/>
          </w:tcPr>
          <w:p w14:paraId="3C4AD234" w14:textId="77777777" w:rsidR="004A439F" w:rsidRPr="00BA5E59" w:rsidRDefault="004A439F" w:rsidP="001E1FB2">
            <w:r w:rsidRPr="00BA5E59">
              <w:t>The identified or identifiable natural person to whom the Personal Data relates.</w:t>
            </w:r>
          </w:p>
        </w:tc>
      </w:tr>
      <w:tr w:rsidR="004A439F" w:rsidRPr="00BA5E59" w14:paraId="21F365C1" w14:textId="77777777" w:rsidTr="001E1FB2">
        <w:tc>
          <w:tcPr>
            <w:tcW w:w="2547" w:type="dxa"/>
            <w:shd w:val="clear" w:color="auto" w:fill="F2F2F2"/>
          </w:tcPr>
          <w:p w14:paraId="435EF264" w14:textId="77777777" w:rsidR="004A439F" w:rsidRPr="00BA5E59" w:rsidRDefault="004A439F" w:rsidP="001E1FB2">
            <w:pPr>
              <w:rPr>
                <w:b/>
              </w:rPr>
            </w:pPr>
            <w:r w:rsidRPr="00BA5E59">
              <w:rPr>
                <w:b/>
              </w:rPr>
              <w:t>GDPR</w:t>
            </w:r>
          </w:p>
        </w:tc>
        <w:tc>
          <w:tcPr>
            <w:tcW w:w="6469" w:type="dxa"/>
          </w:tcPr>
          <w:p w14:paraId="2C85BEBF" w14:textId="77777777" w:rsidR="004A439F" w:rsidRPr="00BA5E59" w:rsidRDefault="004A439F" w:rsidP="001E1FB2">
            <w:r w:rsidRPr="00BA5E59">
              <w:t>The European Union General Data Protection Regulation (2016/679).</w:t>
            </w:r>
          </w:p>
        </w:tc>
      </w:tr>
      <w:tr w:rsidR="004A439F" w:rsidRPr="00BA5E59" w14:paraId="12E23EBC" w14:textId="77777777" w:rsidTr="001E1FB2">
        <w:tc>
          <w:tcPr>
            <w:tcW w:w="2547" w:type="dxa"/>
            <w:shd w:val="clear" w:color="auto" w:fill="F2F2F2"/>
          </w:tcPr>
          <w:p w14:paraId="119351B7" w14:textId="77777777" w:rsidR="004A439F" w:rsidRPr="00BA5E59" w:rsidRDefault="004A439F" w:rsidP="001E1FB2">
            <w:pPr>
              <w:rPr>
                <w:b/>
              </w:rPr>
            </w:pPr>
            <w:r w:rsidRPr="00BA5E59">
              <w:rPr>
                <w:b/>
              </w:rPr>
              <w:t>Legal Basis</w:t>
            </w:r>
          </w:p>
        </w:tc>
        <w:tc>
          <w:tcPr>
            <w:tcW w:w="6469" w:type="dxa"/>
          </w:tcPr>
          <w:p w14:paraId="5BB2A096" w14:textId="77777777" w:rsidR="004A439F" w:rsidRPr="00BA5E59" w:rsidRDefault="004A439F" w:rsidP="001E1FB2">
            <w:r w:rsidRPr="00BA5E59">
              <w:t xml:space="preserve">Processing of Personal Data is only lawful if and to the extent that at least one legal basis specified in the GDPR applies. The available legal bases which are applicable in the employment context are summarised as: </w:t>
            </w:r>
          </w:p>
          <w:p w14:paraId="6EC782CA" w14:textId="77777777" w:rsidR="004A439F" w:rsidRPr="00BA5E59" w:rsidRDefault="004A439F" w:rsidP="004A439F">
            <w:pPr>
              <w:numPr>
                <w:ilvl w:val="0"/>
                <w:numId w:val="4"/>
              </w:numPr>
              <w:pBdr>
                <w:top w:val="nil"/>
                <w:left w:val="nil"/>
                <w:bottom w:val="nil"/>
                <w:right w:val="nil"/>
                <w:between w:val="nil"/>
              </w:pBdr>
              <w:spacing w:after="0"/>
            </w:pPr>
            <w:r w:rsidRPr="00BA5E59">
              <w:t>consent of the Data Subject (e.g. pictures, image)</w:t>
            </w:r>
          </w:p>
          <w:p w14:paraId="76F17996" w14:textId="77777777" w:rsidR="004A439F" w:rsidRPr="00BA5E59" w:rsidRDefault="004A439F" w:rsidP="004A439F">
            <w:pPr>
              <w:numPr>
                <w:ilvl w:val="0"/>
                <w:numId w:val="4"/>
              </w:numPr>
              <w:pBdr>
                <w:top w:val="nil"/>
                <w:left w:val="nil"/>
                <w:bottom w:val="nil"/>
                <w:right w:val="nil"/>
                <w:between w:val="nil"/>
              </w:pBdr>
              <w:spacing w:after="0"/>
            </w:pPr>
            <w:r w:rsidRPr="00BA5E59">
              <w:t xml:space="preserve">Processing is necessary to enter into or perform a contract </w:t>
            </w:r>
          </w:p>
          <w:p w14:paraId="28D27996" w14:textId="77777777" w:rsidR="004A439F" w:rsidRPr="00BA5E59" w:rsidRDefault="004A439F" w:rsidP="004A439F">
            <w:pPr>
              <w:numPr>
                <w:ilvl w:val="0"/>
                <w:numId w:val="4"/>
              </w:numPr>
              <w:pBdr>
                <w:top w:val="nil"/>
                <w:left w:val="nil"/>
                <w:bottom w:val="nil"/>
                <w:right w:val="nil"/>
                <w:between w:val="nil"/>
              </w:pBdr>
              <w:spacing w:after="0"/>
            </w:pPr>
            <w:r w:rsidRPr="00BA5E59">
              <w:t>Processing is necessary for compliance with a legal obligation to which the Controller is subject</w:t>
            </w:r>
          </w:p>
          <w:p w14:paraId="2D8F4057" w14:textId="77777777" w:rsidR="004A439F" w:rsidRPr="00BA5E59" w:rsidRDefault="004A439F" w:rsidP="004A439F">
            <w:pPr>
              <w:numPr>
                <w:ilvl w:val="0"/>
                <w:numId w:val="4"/>
              </w:numPr>
              <w:pBdr>
                <w:top w:val="nil"/>
                <w:left w:val="nil"/>
                <w:bottom w:val="nil"/>
                <w:right w:val="nil"/>
                <w:between w:val="nil"/>
              </w:pBdr>
              <w:spacing w:after="0"/>
            </w:pPr>
            <w:r w:rsidRPr="00BA5E59">
              <w:t>Processing is necessary in order to protect the vital interests of the Data Subject or another natural person</w:t>
            </w:r>
          </w:p>
          <w:p w14:paraId="6BA42311" w14:textId="77777777" w:rsidR="004A439F" w:rsidRPr="00BA5E59" w:rsidRDefault="004A439F" w:rsidP="001E1FB2">
            <w:pPr>
              <w:numPr>
                <w:ilvl w:val="0"/>
                <w:numId w:val="4"/>
              </w:numPr>
              <w:pBdr>
                <w:top w:val="nil"/>
                <w:left w:val="nil"/>
                <w:bottom w:val="nil"/>
                <w:right w:val="nil"/>
                <w:between w:val="nil"/>
              </w:pBdr>
            </w:pPr>
            <w:r w:rsidRPr="00BA5E59">
              <w:t>Processing is necessary for the purposes of the legitimate interests pursued by the Controller or by a third party, except where such interests are overridden by the interests or fundamental rights and freedoms of the Data Subject which require protection of Personal Data (</w:t>
            </w:r>
            <w:r w:rsidRPr="00BA5E59">
              <w:rPr>
                <w:b/>
              </w:rPr>
              <w:t>Legitimate Interests</w:t>
            </w:r>
            <w:r w:rsidRPr="00BA5E59">
              <w:t>).</w:t>
            </w:r>
          </w:p>
        </w:tc>
      </w:tr>
      <w:tr w:rsidR="004A439F" w:rsidRPr="00BA5E59" w14:paraId="2FFA51D1" w14:textId="77777777" w:rsidTr="001E1FB2">
        <w:tc>
          <w:tcPr>
            <w:tcW w:w="2547" w:type="dxa"/>
            <w:shd w:val="clear" w:color="auto" w:fill="F2F2F2"/>
          </w:tcPr>
          <w:p w14:paraId="0C8D7A02" w14:textId="77777777" w:rsidR="004A439F" w:rsidRPr="00BA5E59" w:rsidRDefault="004A439F" w:rsidP="001E1FB2">
            <w:pPr>
              <w:rPr>
                <w:b/>
              </w:rPr>
            </w:pPr>
            <w:r w:rsidRPr="00BA5E59">
              <w:rPr>
                <w:b/>
              </w:rPr>
              <w:t>Personal Data</w:t>
            </w:r>
          </w:p>
        </w:tc>
        <w:tc>
          <w:tcPr>
            <w:tcW w:w="6469" w:type="dxa"/>
          </w:tcPr>
          <w:p w14:paraId="2A8E4BAF" w14:textId="77777777" w:rsidR="004A439F" w:rsidRPr="00BA5E59" w:rsidRDefault="004A439F" w:rsidP="001E1FB2">
            <w:r w:rsidRPr="00BA5E59">
              <w:t>Any information relating to an identified or identifiable natural person; an identifiable natural person is one who can be identified, directly or indirectly, in particular by reference to an identifier such as name, an identification number, location data, an online identifier or to one or more factors specific to the physical, physiological, genetic, mental, economic, cultural or social identity of that natural person.</w:t>
            </w:r>
          </w:p>
        </w:tc>
      </w:tr>
      <w:tr w:rsidR="004A439F" w:rsidRPr="00BA5E59" w14:paraId="216F260D" w14:textId="77777777" w:rsidTr="001E1FB2">
        <w:tc>
          <w:tcPr>
            <w:tcW w:w="2547" w:type="dxa"/>
            <w:shd w:val="clear" w:color="auto" w:fill="F2F2F2"/>
          </w:tcPr>
          <w:p w14:paraId="31217F37" w14:textId="77777777" w:rsidR="004A439F" w:rsidRPr="00BA5E59" w:rsidRDefault="004A439F" w:rsidP="001E1FB2">
            <w:pPr>
              <w:rPr>
                <w:b/>
              </w:rPr>
            </w:pPr>
            <w:r w:rsidRPr="00BA5E59">
              <w:rPr>
                <w:b/>
              </w:rPr>
              <w:t>Process/Processing</w:t>
            </w:r>
          </w:p>
        </w:tc>
        <w:tc>
          <w:tcPr>
            <w:tcW w:w="6469" w:type="dxa"/>
          </w:tcPr>
          <w:p w14:paraId="6D1A34F9" w14:textId="77777777" w:rsidR="004A439F" w:rsidRPr="00BA5E59" w:rsidRDefault="004A439F" w:rsidP="001E1FB2">
            <w:r w:rsidRPr="00BA5E59">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4A439F" w:rsidRPr="00BA5E59" w14:paraId="2EA7335D" w14:textId="77777777" w:rsidTr="001E1FB2">
        <w:tc>
          <w:tcPr>
            <w:tcW w:w="2547" w:type="dxa"/>
            <w:shd w:val="clear" w:color="auto" w:fill="F2F2F2"/>
          </w:tcPr>
          <w:p w14:paraId="40138249" w14:textId="77777777" w:rsidR="004A439F" w:rsidRPr="00BA5E59" w:rsidRDefault="004A439F" w:rsidP="001E1FB2">
            <w:pPr>
              <w:rPr>
                <w:b/>
              </w:rPr>
            </w:pPr>
            <w:r w:rsidRPr="00BA5E59">
              <w:rPr>
                <w:b/>
              </w:rPr>
              <w:t>Special Categories of Personal Data</w:t>
            </w:r>
          </w:p>
        </w:tc>
        <w:tc>
          <w:tcPr>
            <w:tcW w:w="6469" w:type="dxa"/>
          </w:tcPr>
          <w:p w14:paraId="477A01E3" w14:textId="77777777" w:rsidR="004A439F" w:rsidRPr="00BA5E59" w:rsidRDefault="004A439F" w:rsidP="001E1FB2">
            <w:r w:rsidRPr="00BA5E59">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tc>
      </w:tr>
    </w:tbl>
    <w:p w14:paraId="5F6A3EB7" w14:textId="77777777" w:rsidR="004A439F" w:rsidRPr="00BA5E59" w:rsidRDefault="004A439F" w:rsidP="004A439F"/>
    <w:p w14:paraId="09F4DAB6" w14:textId="77777777" w:rsidR="000D1C19" w:rsidRDefault="000D1C19"/>
    <w:sectPr w:rsidR="000D1C19">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94B7" w14:textId="77777777" w:rsidR="00CD316F" w:rsidRDefault="00CD316F" w:rsidP="004A439F">
      <w:pPr>
        <w:spacing w:after="0" w:line="240" w:lineRule="auto"/>
      </w:pPr>
      <w:r>
        <w:separator/>
      </w:r>
    </w:p>
  </w:endnote>
  <w:endnote w:type="continuationSeparator" w:id="0">
    <w:p w14:paraId="5BB102D6" w14:textId="77777777" w:rsidR="00CD316F" w:rsidRDefault="00CD316F" w:rsidP="004A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2053" w14:textId="77777777" w:rsidR="00352691" w:rsidRDefault="007A342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DFDC75F" w14:textId="77777777" w:rsidR="00352691" w:rsidRDefault="00CD316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ADD64" w14:textId="77777777" w:rsidR="00CD316F" w:rsidRDefault="00CD316F" w:rsidP="004A439F">
      <w:pPr>
        <w:spacing w:after="0" w:line="240" w:lineRule="auto"/>
      </w:pPr>
      <w:r>
        <w:separator/>
      </w:r>
    </w:p>
  </w:footnote>
  <w:footnote w:type="continuationSeparator" w:id="0">
    <w:p w14:paraId="6B62EBCC" w14:textId="77777777" w:rsidR="00CD316F" w:rsidRDefault="00CD316F" w:rsidP="004A4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8070" w14:textId="77777777" w:rsidR="002B5384" w:rsidRDefault="007A3420" w:rsidP="002B5384">
    <w:pPr>
      <w:pBdr>
        <w:top w:val="nil"/>
        <w:left w:val="nil"/>
        <w:bottom w:val="nil"/>
        <w:right w:val="nil"/>
        <w:between w:val="nil"/>
      </w:pBdr>
      <w:tabs>
        <w:tab w:val="center" w:pos="4680"/>
        <w:tab w:val="right" w:pos="9360"/>
      </w:tabs>
      <w:spacing w:after="0" w:line="240" w:lineRule="auto"/>
      <w:jc w:val="center"/>
      <w:rPr>
        <w:color w:val="000000"/>
      </w:rPr>
    </w:pPr>
    <w:r>
      <w:rPr>
        <w:color w:val="000000"/>
      </w:rPr>
      <w:t>Huawei Technologies Research &amp; Development Belgium NV – Privacy Notice</w:t>
    </w:r>
  </w:p>
  <w:p w14:paraId="37D71090" w14:textId="540881A5" w:rsidR="00352691" w:rsidRPr="00BE4B1F" w:rsidRDefault="004A439F" w:rsidP="002B5384">
    <w:pPr>
      <w:pBdr>
        <w:top w:val="nil"/>
        <w:left w:val="nil"/>
        <w:bottom w:val="nil"/>
        <w:right w:val="nil"/>
        <w:between w:val="nil"/>
      </w:pBdr>
      <w:tabs>
        <w:tab w:val="center" w:pos="4680"/>
        <w:tab w:val="right" w:pos="9360"/>
      </w:tabs>
      <w:spacing w:after="0" w:line="240" w:lineRule="auto"/>
      <w:jc w:val="center"/>
      <w:rPr>
        <w:color w:val="000000"/>
      </w:rPr>
    </w:pPr>
    <w:r w:rsidRPr="004A439F">
      <w:t xml:space="preserve">Ph.D. Student Contest 2024: RFIC </w:t>
    </w:r>
    <w:r>
      <w:rPr>
        <w:rFonts w:eastAsia="Calibri"/>
        <w:color w:val="000000"/>
      </w:rPr>
      <w:t>– Huawei European University Challenge 2024, Belgium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00F55"/>
    <w:multiLevelType w:val="hybridMultilevel"/>
    <w:tmpl w:val="374251F6"/>
    <w:lvl w:ilvl="0" w:tplc="AE04449A">
      <w:start w:val="1"/>
      <w:numFmt w:val="decimal"/>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1C1FC0"/>
    <w:multiLevelType w:val="multilevel"/>
    <w:tmpl w:val="6E563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A6C21"/>
    <w:multiLevelType w:val="multilevel"/>
    <w:tmpl w:val="1D106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7E3A6C"/>
    <w:multiLevelType w:val="hybridMultilevel"/>
    <w:tmpl w:val="066A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54A03"/>
    <w:multiLevelType w:val="multilevel"/>
    <w:tmpl w:val="2D9AE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7FF32C6"/>
    <w:multiLevelType w:val="multilevel"/>
    <w:tmpl w:val="4B88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495BBD"/>
    <w:multiLevelType w:val="hybridMultilevel"/>
    <w:tmpl w:val="771C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9F"/>
    <w:rsid w:val="000D1C19"/>
    <w:rsid w:val="0021484A"/>
    <w:rsid w:val="002B5384"/>
    <w:rsid w:val="004A20FA"/>
    <w:rsid w:val="004A439F"/>
    <w:rsid w:val="007A3420"/>
    <w:rsid w:val="009000F5"/>
    <w:rsid w:val="00BD01EB"/>
    <w:rsid w:val="00CD316F"/>
    <w:rsid w:val="00DF5FAB"/>
  </w:rsids>
  <m:mathPr>
    <m:mathFont m:val="Cambria Math"/>
    <m:brkBin m:val="before"/>
    <m:brkBinSub m:val="--"/>
    <m:smallFrac m:val="0"/>
    <m:dispDef/>
    <m:lMargin m:val="0"/>
    <m:rMargin m:val="0"/>
    <m:defJc m:val="centerGroup"/>
    <m:wrapIndent m:val="1440"/>
    <m:intLim m:val="subSup"/>
    <m:naryLim m:val="undOvr"/>
  </m:mathPr>
  <w:themeFontLang w:val="en-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5A90"/>
  <w15:chartTrackingRefBased/>
  <w15:docId w15:val="{2FBA5E22-CBC6-4E8E-9AEB-94151F56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39F"/>
    <w:rPr>
      <w:rFonts w:ascii="Calibri" w:eastAsiaTheme="minorEastAsia" w:hAnsi="Calibri" w:cs="Calibri"/>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39F"/>
    <w:pPr>
      <w:ind w:left="720"/>
      <w:contextualSpacing/>
    </w:pPr>
  </w:style>
  <w:style w:type="character" w:styleId="Hyperlink">
    <w:name w:val="Hyperlink"/>
    <w:basedOn w:val="DefaultParagraphFont"/>
    <w:uiPriority w:val="99"/>
    <w:unhideWhenUsed/>
    <w:rsid w:val="004A439F"/>
    <w:rPr>
      <w:color w:val="0563C1" w:themeColor="hyperlink"/>
      <w:u w:val="single"/>
    </w:rPr>
  </w:style>
  <w:style w:type="paragraph" w:styleId="Header">
    <w:name w:val="header"/>
    <w:basedOn w:val="Normal"/>
    <w:link w:val="HeaderChar"/>
    <w:uiPriority w:val="99"/>
    <w:unhideWhenUsed/>
    <w:rsid w:val="004A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9F"/>
    <w:rPr>
      <w:rFonts w:ascii="Calibri" w:eastAsiaTheme="minorEastAsia" w:hAnsi="Calibri" w:cs="Calibri"/>
      <w:lang w:val="en-GB" w:eastAsia="zh-CN"/>
    </w:rPr>
  </w:style>
  <w:style w:type="paragraph" w:styleId="Footer">
    <w:name w:val="footer"/>
    <w:basedOn w:val="Normal"/>
    <w:link w:val="FooterChar"/>
    <w:uiPriority w:val="99"/>
    <w:unhideWhenUsed/>
    <w:rsid w:val="004A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9F"/>
    <w:rPr>
      <w:rFonts w:ascii="Calibri" w:eastAsiaTheme="minorEastAsia" w:hAnsi="Calibri" w:cs="Calibri"/>
      <w:lang w:val="en-GB" w:eastAsia="zh-CN"/>
    </w:rPr>
  </w:style>
  <w:style w:type="character" w:styleId="CommentReference">
    <w:name w:val="annotation reference"/>
    <w:basedOn w:val="DefaultParagraphFont"/>
    <w:uiPriority w:val="99"/>
    <w:semiHidden/>
    <w:unhideWhenUsed/>
    <w:rsid w:val="004A20FA"/>
    <w:rPr>
      <w:sz w:val="16"/>
      <w:szCs w:val="16"/>
    </w:rPr>
  </w:style>
  <w:style w:type="paragraph" w:styleId="CommentText">
    <w:name w:val="annotation text"/>
    <w:basedOn w:val="Normal"/>
    <w:link w:val="CommentTextChar"/>
    <w:uiPriority w:val="99"/>
    <w:semiHidden/>
    <w:unhideWhenUsed/>
    <w:rsid w:val="004A20FA"/>
    <w:pPr>
      <w:spacing w:line="240" w:lineRule="auto"/>
    </w:pPr>
    <w:rPr>
      <w:sz w:val="20"/>
      <w:szCs w:val="20"/>
    </w:rPr>
  </w:style>
  <w:style w:type="character" w:customStyle="1" w:styleId="CommentTextChar">
    <w:name w:val="Comment Text Char"/>
    <w:basedOn w:val="DefaultParagraphFont"/>
    <w:link w:val="CommentText"/>
    <w:uiPriority w:val="99"/>
    <w:semiHidden/>
    <w:rsid w:val="004A20FA"/>
    <w:rPr>
      <w:rFonts w:ascii="Calibri" w:eastAsiaTheme="minorEastAsia" w:hAnsi="Calibri" w:cs="Calibri"/>
      <w:sz w:val="20"/>
      <w:szCs w:val="20"/>
      <w:lang w:val="en-GB" w:eastAsia="zh-CN"/>
    </w:rPr>
  </w:style>
  <w:style w:type="paragraph" w:styleId="CommentSubject">
    <w:name w:val="annotation subject"/>
    <w:basedOn w:val="CommentText"/>
    <w:next w:val="CommentText"/>
    <w:link w:val="CommentSubjectChar"/>
    <w:uiPriority w:val="99"/>
    <w:semiHidden/>
    <w:unhideWhenUsed/>
    <w:rsid w:val="004A20FA"/>
    <w:rPr>
      <w:b/>
      <w:bCs/>
    </w:rPr>
  </w:style>
  <w:style w:type="character" w:customStyle="1" w:styleId="CommentSubjectChar">
    <w:name w:val="Comment Subject Char"/>
    <w:basedOn w:val="CommentTextChar"/>
    <w:link w:val="CommentSubject"/>
    <w:uiPriority w:val="99"/>
    <w:semiHidden/>
    <w:rsid w:val="004A20FA"/>
    <w:rPr>
      <w:rFonts w:ascii="Calibri" w:eastAsiaTheme="minorEastAsia" w:hAnsi="Calibri" w:cs="Calibri"/>
      <w:b/>
      <w:bCs/>
      <w:sz w:val="20"/>
      <w:szCs w:val="20"/>
      <w:lang w:val="en-GB" w:eastAsia="zh-CN"/>
    </w:rPr>
  </w:style>
  <w:style w:type="paragraph" w:styleId="BalloonText">
    <w:name w:val="Balloon Text"/>
    <w:basedOn w:val="Normal"/>
    <w:link w:val="BalloonTextChar"/>
    <w:uiPriority w:val="99"/>
    <w:semiHidden/>
    <w:unhideWhenUsed/>
    <w:rsid w:val="004A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FA"/>
    <w:rPr>
      <w:rFonts w:ascii="Segoe UI" w:eastAsiaTheme="minorEastAsia"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awei.com/en/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awei.com/en/personal-data-requ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gevensbeschermingsautoriteit.be/burger/acties/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Dreher</dc:creator>
  <cp:keywords/>
  <dc:description/>
  <cp:lastModifiedBy>Ping Chen</cp:lastModifiedBy>
  <cp:revision>6</cp:revision>
  <dcterms:created xsi:type="dcterms:W3CDTF">2024-09-06T12:08:00Z</dcterms:created>
  <dcterms:modified xsi:type="dcterms:W3CDTF">2024-09-06T12:49:00Z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1724058376</vt:lpwstr>
  </property>
</Properties>
</file>